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96DC7F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1731C">
        <w:rPr>
          <w:bCs/>
          <w:noProof w:val="0"/>
          <w:sz w:val="24"/>
          <w:szCs w:val="24"/>
        </w:rPr>
        <w:t>1</w:t>
      </w:r>
      <w:r w:rsidR="006C17DE">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945B7">
        <w:rPr>
          <w:bCs/>
          <w:noProof w:val="0"/>
          <w:sz w:val="24"/>
          <w:szCs w:val="24"/>
        </w:rPr>
        <w:t>07601</w:t>
      </w:r>
    </w:p>
    <w:p w14:paraId="11776FA6" w14:textId="2E3F85AD" w:rsidR="00A209D6" w:rsidRPr="00465587" w:rsidRDefault="009928A9" w:rsidP="00A209D6">
      <w:pPr>
        <w:pStyle w:val="Header"/>
        <w:tabs>
          <w:tab w:val="right" w:pos="9639"/>
        </w:tabs>
        <w:rPr>
          <w:sz w:val="24"/>
          <w:szCs w:val="24"/>
          <w:lang w:eastAsia="zh-CN"/>
        </w:rPr>
      </w:pPr>
      <w:r>
        <w:rPr>
          <w:sz w:val="24"/>
          <w:szCs w:val="24"/>
          <w:lang w:eastAsia="zh-CN"/>
        </w:rPr>
        <w:t>Elbonia</w:t>
      </w:r>
      <w:r w:rsidR="006574C0" w:rsidRPr="006574C0">
        <w:rPr>
          <w:sz w:val="24"/>
          <w:szCs w:val="24"/>
          <w:lang w:eastAsia="zh-CN"/>
        </w:rPr>
        <w:t xml:space="preserve">, </w:t>
      </w:r>
      <w:r w:rsidR="00CA03B9">
        <w:rPr>
          <w:sz w:val="24"/>
          <w:szCs w:val="24"/>
          <w:lang w:eastAsia="zh-CN"/>
        </w:rPr>
        <w:t xml:space="preserve">17 </w:t>
      </w:r>
      <w:r w:rsidR="006574C0" w:rsidRPr="006574C0">
        <w:rPr>
          <w:sz w:val="24"/>
          <w:szCs w:val="24"/>
          <w:lang w:eastAsia="zh-CN"/>
        </w:rPr>
        <w:t xml:space="preserve">– </w:t>
      </w:r>
      <w:r w:rsidR="00CA03B9">
        <w:rPr>
          <w:sz w:val="24"/>
          <w:szCs w:val="24"/>
          <w:lang w:eastAsia="zh-CN"/>
        </w:rPr>
        <w:t>28</w:t>
      </w:r>
      <w:r w:rsidR="00CA03B9" w:rsidRPr="006574C0">
        <w:rPr>
          <w:sz w:val="24"/>
          <w:szCs w:val="24"/>
          <w:lang w:eastAsia="zh-CN"/>
        </w:rPr>
        <w:t xml:space="preserve"> </w:t>
      </w:r>
      <w:r w:rsidR="00CA03B9">
        <w:rPr>
          <w:sz w:val="24"/>
          <w:szCs w:val="24"/>
          <w:lang w:eastAsia="zh-CN"/>
        </w:rPr>
        <w:t>August</w:t>
      </w:r>
      <w:r w:rsidR="00CA03B9" w:rsidRPr="006574C0">
        <w:rPr>
          <w:sz w:val="24"/>
          <w:szCs w:val="24"/>
          <w:lang w:eastAsia="zh-CN"/>
        </w:rPr>
        <w:t xml:space="preserve"> </w:t>
      </w:r>
      <w:r w:rsidR="00CA03B9">
        <w:rPr>
          <w:sz w:val="24"/>
          <w:szCs w:val="24"/>
          <w:lang w:eastAsia="zh-CN"/>
        </w:rPr>
        <w:t xml:space="preserve"> </w:t>
      </w:r>
      <w:r w:rsidR="006574C0" w:rsidRPr="006574C0">
        <w:rPr>
          <w:sz w:val="24"/>
          <w:szCs w:val="24"/>
          <w:lang w:eastAsia="zh-CN"/>
        </w:rPr>
        <w:t>20</w:t>
      </w:r>
      <w:r w:rsidR="009376CD">
        <w:rPr>
          <w:sz w:val="24"/>
          <w:szCs w:val="24"/>
          <w:lang w:eastAsia="zh-CN"/>
        </w:rPr>
        <w:t>20</w:t>
      </w:r>
      <w:r w:rsidR="00A209D6">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80FD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5225" w:rsidRPr="00BD5225">
        <w:rPr>
          <w:rFonts w:cs="Arial"/>
          <w:b/>
          <w:bCs/>
          <w:sz w:val="24"/>
          <w:lang w:eastAsia="ja-JP"/>
        </w:rPr>
        <w:t>8.10.3.2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F4F0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0FFD">
        <w:rPr>
          <w:rFonts w:ascii="Arial" w:hAnsi="Arial" w:cs="Arial"/>
          <w:b/>
          <w:bCs/>
          <w:sz w:val="24"/>
        </w:rPr>
        <w:t>Adjusting timers according to delay variations</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731C" w:rsidRPr="0071731C">
        <w:rPr>
          <w:rFonts w:ascii="Arial" w:hAnsi="Arial" w:cs="Arial"/>
          <w:b/>
          <w:bCs/>
          <w:sz w:val="24"/>
        </w:rPr>
        <w:t xml:space="preserve">NR_NTN_solutions-Core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189BDDA" w:rsidR="00A209D6" w:rsidRPr="006E13D1" w:rsidRDefault="00A209D6" w:rsidP="00A209D6">
      <w:pPr>
        <w:pStyle w:val="Heading1"/>
      </w:pPr>
      <w:r w:rsidRPr="006E13D1">
        <w:t>1</w:t>
      </w:r>
      <w:r w:rsidRPr="006E13D1">
        <w:tab/>
      </w:r>
      <w:r>
        <w:t>Introduction</w:t>
      </w:r>
    </w:p>
    <w:p w14:paraId="31EC6E66" w14:textId="7C454D33" w:rsidR="007F2E08" w:rsidRDefault="00EC0FFD" w:rsidP="00A209D6">
      <w:r>
        <w:rPr>
          <w:noProof/>
        </w:rPr>
        <mc:AlternateContent>
          <mc:Choice Requires="wps">
            <w:drawing>
              <wp:anchor distT="45720" distB="45720" distL="114300" distR="114300" simplePos="0" relativeHeight="251659264" behindDoc="0" locked="0" layoutInCell="1" allowOverlap="1" wp14:anchorId="5F83BBA7" wp14:editId="08F13DDF">
                <wp:simplePos x="0" y="0"/>
                <wp:positionH relativeFrom="margin">
                  <wp:align>left</wp:align>
                </wp:positionH>
                <wp:positionV relativeFrom="paragraph">
                  <wp:posOffset>227965</wp:posOffset>
                </wp:positionV>
                <wp:extent cx="6091555" cy="1404620"/>
                <wp:effectExtent l="0" t="0" r="2349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3FEF61BA" w14:textId="4318E25C"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MAC</w:t>
                            </w:r>
                          </w:p>
                          <w:p w14:paraId="5D84F92E" w14:textId="77777777" w:rsidR="00FE259A" w:rsidRPr="00EC0FFD" w:rsidRDefault="00FE259A" w:rsidP="00EC0FFD">
                            <w:pPr>
                              <w:pStyle w:val="ListParagraph"/>
                              <w:numPr>
                                <w:ilvl w:val="1"/>
                                <w:numId w:val="8"/>
                              </w:numPr>
                              <w:rPr>
                                <w:rFonts w:ascii="Times New Roman" w:hAnsi="Times New Roman"/>
                                <w:sz w:val="16"/>
                                <w:szCs w:val="16"/>
                              </w:rPr>
                            </w:pPr>
                            <w:r w:rsidRPr="00EC0FFD">
                              <w:rPr>
                                <w:rFonts w:ascii="Times New Roman" w:hAnsi="Times New Roman"/>
                                <w:sz w:val="16"/>
                                <w:szCs w:val="16"/>
                              </w:rPr>
                              <w:t>Random access:</w:t>
                            </w:r>
                          </w:p>
                          <w:p w14:paraId="51584708" w14:textId="77777777" w:rsidR="00FE259A" w:rsidRPr="00823EB3" w:rsidRDefault="00FE259A" w:rsidP="00EC0FFD">
                            <w:pPr>
                              <w:pStyle w:val="ListParagraph"/>
                              <w:numPr>
                                <w:ilvl w:val="2"/>
                                <w:numId w:val="8"/>
                              </w:numPr>
                              <w:rPr>
                                <w:rFonts w:ascii="Times New Roman" w:hAnsi="Times New Roman"/>
                                <w:sz w:val="16"/>
                                <w:szCs w:val="16"/>
                              </w:rPr>
                            </w:pPr>
                            <w:r w:rsidRPr="00823EB3">
                              <w:rPr>
                                <w:rFonts w:ascii="Times New Roman" w:hAnsi="Times New Roman"/>
                                <w:sz w:val="16"/>
                                <w:szCs w:val="16"/>
                              </w:rPr>
                              <w:t>Definition of an offset for the start of the ra-</w:t>
                            </w:r>
                            <w:proofErr w:type="spellStart"/>
                            <w:r w:rsidRPr="00823EB3">
                              <w:rPr>
                                <w:rFonts w:ascii="Times New Roman" w:hAnsi="Times New Roman"/>
                                <w:sz w:val="16"/>
                                <w:szCs w:val="16"/>
                              </w:rPr>
                              <w:t>ResponseWindow</w:t>
                            </w:r>
                            <w:proofErr w:type="spellEnd"/>
                            <w:r w:rsidRPr="00823EB3">
                              <w:rPr>
                                <w:rFonts w:ascii="Times New Roman" w:hAnsi="Times New Roman"/>
                                <w:sz w:val="16"/>
                                <w:szCs w:val="16"/>
                              </w:rPr>
                              <w:t xml:space="preserve"> for NTN.</w:t>
                            </w:r>
                          </w:p>
                          <w:p w14:paraId="42A9D845" w14:textId="77777777" w:rsidR="00FE259A" w:rsidRPr="00823EB3" w:rsidRDefault="00FE259A" w:rsidP="00EC0FFD">
                            <w:pPr>
                              <w:pStyle w:val="ListParagraph"/>
                              <w:numPr>
                                <w:ilvl w:val="2"/>
                                <w:numId w:val="8"/>
                              </w:numPr>
                              <w:rPr>
                                <w:rFonts w:ascii="Times New Roman" w:hAnsi="Times New Roman"/>
                                <w:sz w:val="16"/>
                                <w:szCs w:val="16"/>
                              </w:rPr>
                            </w:pPr>
                            <w:r w:rsidRPr="00823EB3">
                              <w:rPr>
                                <w:rFonts w:ascii="Times New Roman" w:hAnsi="Times New Roman"/>
                                <w:sz w:val="16"/>
                                <w:szCs w:val="16"/>
                              </w:rPr>
                              <w:t>Introduction of an offset for the start of the ra-</w:t>
                            </w:r>
                            <w:proofErr w:type="spellStart"/>
                            <w:r w:rsidRPr="00823EB3">
                              <w:rPr>
                                <w:rFonts w:ascii="Times New Roman" w:hAnsi="Times New Roman"/>
                                <w:sz w:val="16"/>
                                <w:szCs w:val="16"/>
                              </w:rPr>
                              <w:t>ContentionResolutionTimer</w:t>
                            </w:r>
                            <w:proofErr w:type="spellEnd"/>
                            <w:r w:rsidRPr="00823EB3">
                              <w:rPr>
                                <w:rFonts w:ascii="Times New Roman" w:hAnsi="Times New Roman"/>
                                <w:sz w:val="16"/>
                                <w:szCs w:val="16"/>
                              </w:rPr>
                              <w:t xml:space="preserve"> to resolve Random access contention</w:t>
                            </w:r>
                          </w:p>
                          <w:p w14:paraId="08DAAB28" w14:textId="77777777" w:rsidR="00FE259A" w:rsidRPr="00EC0FFD" w:rsidRDefault="00FE259A" w:rsidP="00EC0FFD">
                            <w:pPr>
                              <w:pStyle w:val="ListParagraph"/>
                              <w:numPr>
                                <w:ilvl w:val="2"/>
                                <w:numId w:val="8"/>
                              </w:numPr>
                              <w:rPr>
                                <w:rFonts w:ascii="Times New Roman" w:hAnsi="Times New Roman"/>
                                <w:sz w:val="16"/>
                                <w:szCs w:val="16"/>
                              </w:rPr>
                            </w:pPr>
                            <w:r w:rsidRPr="00EC0FFD">
                              <w:rPr>
                                <w:rFonts w:ascii="Times New Roman" w:hAnsi="Times New Roman"/>
                                <w:sz w:val="16"/>
                                <w:szCs w:val="16"/>
                              </w:rPr>
                              <w:t>Solutions for resolving preamble ambiguity and extension of RAR window.</w:t>
                            </w:r>
                          </w:p>
                          <w:p w14:paraId="47E4DA13" w14:textId="77777777" w:rsidR="00FE259A" w:rsidRPr="00EC0FFD" w:rsidRDefault="00FE259A" w:rsidP="00EC0FFD">
                            <w:pPr>
                              <w:pStyle w:val="ListParagraph"/>
                              <w:numPr>
                                <w:ilvl w:val="2"/>
                                <w:numId w:val="8"/>
                              </w:numPr>
                              <w:spacing w:before="100" w:beforeAutospacing="1" w:after="100" w:afterAutospacing="1"/>
                              <w:rPr>
                                <w:sz w:val="18"/>
                                <w:szCs w:val="18"/>
                              </w:rPr>
                            </w:pPr>
                            <w:r w:rsidRPr="00EC0FFD">
                              <w:rPr>
                                <w:rFonts w:ascii="Times New Roman" w:hAnsi="Times New Roman" w:hint="eastAsia"/>
                                <w:sz w:val="16"/>
                                <w:szCs w:val="16"/>
                              </w:rPr>
                              <w:t>A</w:t>
                            </w:r>
                            <w:r w:rsidRPr="00EC0FFD">
                              <w:rPr>
                                <w:rFonts w:ascii="Times New Roman" w:hAnsi="Times New Roman"/>
                                <w:sz w:val="16"/>
                                <w:szCs w:val="16"/>
                              </w:rPr>
                              <w:t>daptation for Msg-3 scheduling</w:t>
                            </w:r>
                          </w:p>
                          <w:p w14:paraId="318EDBC0" w14:textId="77777777" w:rsidR="00FE259A" w:rsidRPr="00EC0FFD" w:rsidRDefault="00FE259A" w:rsidP="00EC0FFD">
                            <w:pPr>
                              <w:pStyle w:val="ListParagraph"/>
                              <w:numPr>
                                <w:ilvl w:val="3"/>
                                <w:numId w:val="8"/>
                              </w:numPr>
                              <w:spacing w:before="100" w:beforeAutospacing="1" w:after="100" w:afterAutospacing="1"/>
                              <w:rPr>
                                <w:rFonts w:ascii="Times New Roman" w:hAnsi="Times New Roman"/>
                                <w:sz w:val="16"/>
                                <w:szCs w:val="16"/>
                              </w:rPr>
                            </w:pPr>
                            <w:r w:rsidRPr="00EC0FFD">
                              <w:rPr>
                                <w:rFonts w:ascii="Times New Roman" w:hAnsi="Times New Roman"/>
                                <w:sz w:val="16"/>
                                <w:szCs w:val="16"/>
                              </w:rPr>
                              <w:t>Only for the case with pre-compensation of timing and frequency offset at UE side)</w:t>
                            </w:r>
                          </w:p>
                          <w:p w14:paraId="50912E37" w14:textId="77777777" w:rsidR="00FE259A" w:rsidRPr="00EC0FFD" w:rsidRDefault="00FE259A" w:rsidP="00EC0FFD">
                            <w:pPr>
                              <w:pStyle w:val="ListParagraph"/>
                              <w:numPr>
                                <w:ilvl w:val="1"/>
                                <w:numId w:val="8"/>
                              </w:numPr>
                              <w:spacing w:line="256" w:lineRule="auto"/>
                              <w:rPr>
                                <w:rFonts w:ascii="Times New Roman" w:hAnsi="Times New Roman"/>
                                <w:sz w:val="16"/>
                                <w:szCs w:val="16"/>
                              </w:rPr>
                            </w:pPr>
                            <w:r w:rsidRPr="00EC0FFD">
                              <w:rPr>
                                <w:rFonts w:ascii="Times New Roman" w:hAnsi="Times New Roman"/>
                                <w:sz w:val="16"/>
                                <w:szCs w:val="16"/>
                              </w:rPr>
                              <w:t>Enhancement on UL scheduling to reduce scheduling latency.</w:t>
                            </w:r>
                          </w:p>
                          <w:p w14:paraId="6CA6C92C" w14:textId="77777777" w:rsidR="00FE259A" w:rsidRPr="00EC0FFD" w:rsidRDefault="00FE259A" w:rsidP="00EC0FFD">
                            <w:pPr>
                              <w:pStyle w:val="ListParagraph"/>
                              <w:numPr>
                                <w:ilvl w:val="1"/>
                                <w:numId w:val="8"/>
                              </w:numPr>
                              <w:spacing w:line="256" w:lineRule="auto"/>
                              <w:rPr>
                                <w:rFonts w:ascii="Times New Roman" w:hAnsi="Times New Roman"/>
                                <w:sz w:val="16"/>
                                <w:szCs w:val="16"/>
                              </w:rPr>
                            </w:pPr>
                            <w:r w:rsidRPr="00EC0FFD">
                              <w:rPr>
                                <w:rFonts w:ascii="Times New Roman" w:hAnsi="Times New Roman"/>
                                <w:sz w:val="16"/>
                                <w:szCs w:val="16"/>
                              </w:rPr>
                              <w:t xml:space="preserve">DRX: </w:t>
                            </w:r>
                          </w:p>
                          <w:p w14:paraId="55808AFA" w14:textId="77777777" w:rsidR="00FE259A" w:rsidRPr="00823EB3" w:rsidRDefault="00FE259A" w:rsidP="00EC0FFD">
                            <w:pPr>
                              <w:pStyle w:val="ListParagraph"/>
                              <w:numPr>
                                <w:ilvl w:val="2"/>
                                <w:numId w:val="8"/>
                              </w:numPr>
                              <w:spacing w:line="256" w:lineRule="auto"/>
                              <w:rPr>
                                <w:rFonts w:ascii="Times New Roman" w:hAnsi="Times New Roman"/>
                                <w:sz w:val="16"/>
                                <w:szCs w:val="16"/>
                              </w:rPr>
                            </w:pPr>
                            <w:r w:rsidRPr="00823EB3">
                              <w:rPr>
                                <w:rFonts w:ascii="Times New Roman" w:hAnsi="Times New Roman"/>
                                <w:sz w:val="16"/>
                                <w:szCs w:val="16"/>
                                <w:lang w:eastAsia="fi-FI"/>
                              </w:rPr>
                              <w:t xml:space="preserve">If HARQ </w:t>
                            </w:r>
                            <w:r w:rsidRPr="00823EB3">
                              <w:rPr>
                                <w:rFonts w:ascii="Times New Roman" w:eastAsia="宋体" w:hAnsi="Times New Roman" w:hint="eastAsia"/>
                                <w:sz w:val="16"/>
                                <w:szCs w:val="16"/>
                                <w:lang w:eastAsia="zh-CN"/>
                              </w:rPr>
                              <w:t>feedback is enabled</w:t>
                            </w:r>
                            <w:r w:rsidRPr="00823EB3">
                              <w:rPr>
                                <w:rFonts w:ascii="Times New Roman" w:hAnsi="Times New Roman"/>
                                <w:sz w:val="16"/>
                                <w:szCs w:val="16"/>
                                <w:lang w:eastAsia="fi-FI"/>
                              </w:rPr>
                              <w:t xml:space="preserve">, </w:t>
                            </w:r>
                            <w:r w:rsidRPr="00823EB3">
                              <w:rPr>
                                <w:rFonts w:ascii="Times New Roman" w:hAnsi="Times New Roman"/>
                                <w:sz w:val="16"/>
                                <w:szCs w:val="16"/>
                              </w:rPr>
                              <w:t xml:space="preserve">introduction of </w:t>
                            </w:r>
                            <w:r w:rsidRPr="00823EB3">
                              <w:rPr>
                                <w:rFonts w:ascii="Times New Roman" w:hAnsi="Times New Roman"/>
                                <w:iCs/>
                                <w:sz w:val="16"/>
                                <w:szCs w:val="16"/>
                              </w:rPr>
                              <w:t xml:space="preserve">offset for </w:t>
                            </w:r>
                            <w:r w:rsidRPr="00823EB3">
                              <w:rPr>
                                <w:rFonts w:ascii="Times New Roman" w:hAnsi="Times New Roman"/>
                                <w:i/>
                                <w:iCs/>
                                <w:sz w:val="16"/>
                                <w:szCs w:val="16"/>
                              </w:rPr>
                              <w:t xml:space="preserve">drx-HARQ-RTT-TimerDL </w:t>
                            </w:r>
                            <w:r w:rsidRPr="00823EB3">
                              <w:rPr>
                                <w:rFonts w:ascii="Times New Roman" w:hAnsi="Times New Roman"/>
                                <w:iCs/>
                                <w:sz w:val="16"/>
                                <w:szCs w:val="16"/>
                              </w:rPr>
                              <w:t xml:space="preserve">and </w:t>
                            </w:r>
                            <w:r w:rsidRPr="00823EB3">
                              <w:rPr>
                                <w:rFonts w:ascii="Times New Roman" w:hAnsi="Times New Roman"/>
                                <w:i/>
                                <w:iCs/>
                                <w:sz w:val="16"/>
                                <w:szCs w:val="16"/>
                              </w:rPr>
                              <w:t>drx-HARQ-RTT-TimerUL</w:t>
                            </w:r>
                            <w:r w:rsidRPr="00823EB3">
                              <w:rPr>
                                <w:rFonts w:ascii="Times New Roman" w:hAnsi="Times New Roman"/>
                                <w:iCs/>
                                <w:sz w:val="16"/>
                                <w:szCs w:val="16"/>
                              </w:rPr>
                              <w:t>.</w:t>
                            </w:r>
                          </w:p>
                          <w:p w14:paraId="3F608B89" w14:textId="77777777" w:rsidR="00FE259A" w:rsidRPr="00EC0FFD" w:rsidRDefault="00FE259A" w:rsidP="00EC0FFD">
                            <w:pPr>
                              <w:pStyle w:val="ListParagraph"/>
                              <w:numPr>
                                <w:ilvl w:val="2"/>
                                <w:numId w:val="8"/>
                              </w:numPr>
                              <w:spacing w:line="256" w:lineRule="auto"/>
                              <w:rPr>
                                <w:rFonts w:ascii="Times New Roman" w:hAnsi="Times New Roman"/>
                                <w:sz w:val="16"/>
                                <w:szCs w:val="16"/>
                              </w:rPr>
                            </w:pPr>
                            <w:r w:rsidRPr="00EC0FFD">
                              <w:rPr>
                                <w:rFonts w:ascii="Times New Roman" w:hAnsi="Times New Roman"/>
                                <w:sz w:val="16"/>
                                <w:szCs w:val="16"/>
                              </w:rPr>
                              <w:t>If HARQ is turned off per HARQ process, adaptions in HARQ procedure</w:t>
                            </w:r>
                          </w:p>
                          <w:p w14:paraId="75D5E421"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 xml:space="preserve">Scheduling Request: Extension of the value range of </w:t>
                            </w:r>
                            <w:proofErr w:type="spellStart"/>
                            <w:r w:rsidRPr="00823EB3">
                              <w:rPr>
                                <w:rFonts w:ascii="Times New Roman" w:hAnsi="Times New Roman"/>
                                <w:i/>
                                <w:sz w:val="16"/>
                                <w:szCs w:val="16"/>
                              </w:rPr>
                              <w:t>sr-ProhibitTimer</w:t>
                            </w:r>
                            <w:proofErr w:type="spellEnd"/>
                            <w:r w:rsidRPr="00823EB3">
                              <w:rPr>
                                <w:rFonts w:ascii="Times New Roman" w:hAnsi="Times New Roman"/>
                                <w:i/>
                                <w:sz w:val="16"/>
                                <w:szCs w:val="16"/>
                              </w:rPr>
                              <w:t xml:space="preserve"> </w:t>
                            </w:r>
                          </w:p>
                          <w:p w14:paraId="299DAC44" w14:textId="77777777"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RLC</w:t>
                            </w:r>
                          </w:p>
                          <w:p w14:paraId="20E6844C"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 xml:space="preserve">Status reporting: Extension of the value range of </w:t>
                            </w:r>
                            <w:r w:rsidRPr="00823EB3">
                              <w:rPr>
                                <w:rFonts w:ascii="Times New Roman" w:hAnsi="Times New Roman"/>
                                <w:i/>
                                <w:sz w:val="16"/>
                                <w:szCs w:val="16"/>
                              </w:rPr>
                              <w:t>t-Reassembly</w:t>
                            </w:r>
                          </w:p>
                          <w:p w14:paraId="466E180C" w14:textId="77777777" w:rsidR="00FE259A" w:rsidRPr="00EC0FFD" w:rsidRDefault="00FE259A" w:rsidP="00EC0FFD">
                            <w:pPr>
                              <w:pStyle w:val="ListParagraph"/>
                              <w:numPr>
                                <w:ilvl w:val="1"/>
                                <w:numId w:val="8"/>
                              </w:numPr>
                              <w:rPr>
                                <w:rFonts w:ascii="Times New Roman" w:hAnsi="Times New Roman"/>
                                <w:sz w:val="16"/>
                                <w:szCs w:val="16"/>
                              </w:rPr>
                            </w:pPr>
                            <w:r w:rsidRPr="00EC0FFD">
                              <w:rPr>
                                <w:rFonts w:ascii="Times New Roman" w:hAnsi="Times New Roman"/>
                                <w:sz w:val="16"/>
                                <w:szCs w:val="16"/>
                              </w:rPr>
                              <w:t xml:space="preserve">Sequence Numbers: extension of the SN space only for GEO scenarios </w:t>
                            </w:r>
                          </w:p>
                          <w:p w14:paraId="089D664B" w14:textId="77777777"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PDCP</w:t>
                            </w:r>
                          </w:p>
                          <w:p w14:paraId="196A0E3C"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SDU discard: Extension of t</w:t>
                            </w:r>
                            <w:r w:rsidRPr="00823EB3">
                              <w:rPr>
                                <w:rFonts w:ascii="Times New Roman" w:hAnsi="Times New Roman"/>
                                <w:sz w:val="16"/>
                                <w:szCs w:val="16"/>
                                <w:lang w:eastAsia="ja-JP"/>
                              </w:rPr>
                              <w:t xml:space="preserve">he value range of </w:t>
                            </w:r>
                            <w:proofErr w:type="spellStart"/>
                            <w:r w:rsidRPr="00823EB3">
                              <w:rPr>
                                <w:rFonts w:ascii="Times New Roman" w:hAnsi="Times New Roman"/>
                                <w:i/>
                                <w:sz w:val="16"/>
                                <w:szCs w:val="16"/>
                                <w:lang w:eastAsia="ja-JP"/>
                              </w:rPr>
                              <w:t>discardTimer</w:t>
                            </w:r>
                            <w:proofErr w:type="spellEnd"/>
                            <w:r w:rsidRPr="00823EB3">
                              <w:rPr>
                                <w:rFonts w:ascii="Times New Roman" w:hAnsi="Times New Roman"/>
                                <w:sz w:val="16"/>
                                <w:szCs w:val="16"/>
                              </w:rPr>
                              <w:t>.</w:t>
                            </w:r>
                          </w:p>
                          <w:p w14:paraId="0CC68BA9" w14:textId="19B47A2D" w:rsidR="00FE259A" w:rsidRPr="00EC0FFD" w:rsidRDefault="00FE259A" w:rsidP="00EC0FFD">
                            <w:pPr>
                              <w:pStyle w:val="ListParagraph"/>
                              <w:numPr>
                                <w:ilvl w:val="1"/>
                                <w:numId w:val="8"/>
                              </w:numPr>
                              <w:rPr>
                                <w:sz w:val="18"/>
                                <w:szCs w:val="18"/>
                              </w:rPr>
                            </w:pPr>
                            <w:r w:rsidRPr="00EC0FFD">
                              <w:rPr>
                                <w:rFonts w:ascii="Times New Roman" w:hAnsi="Times New Roman"/>
                                <w:sz w:val="16"/>
                                <w:szCs w:val="16"/>
                              </w:rPr>
                              <w:t>Sequence Numbers: extension of the SN space for GEO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83BBA7" id="_x0000_t202" coordsize="21600,21600" o:spt="202" path="m,l,21600r21600,l21600,xe">
                <v:stroke joinstyle="miter"/>
                <v:path gradientshapeok="t" o:connecttype="rect"/>
              </v:shapetype>
              <v:shape id="Text Box 2" o:spid="_x0000_s1026" type="#_x0000_t202" style="position:absolute;margin-left:0;margin-top:17.95pt;width:479.6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YrFYUM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">
                <v:textbox style="mso-fit-shape-to-text:t">
                  <w:txbxContent>
                    <w:p w14:paraId="3FEF61BA" w14:textId="4318E25C"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MAC</w:t>
                      </w:r>
                    </w:p>
                    <w:p w14:paraId="5D84F92E" w14:textId="77777777" w:rsidR="00FE259A" w:rsidRPr="00EC0FFD" w:rsidRDefault="00FE259A" w:rsidP="00EC0FFD">
                      <w:pPr>
                        <w:pStyle w:val="ListParagraph"/>
                        <w:numPr>
                          <w:ilvl w:val="1"/>
                          <w:numId w:val="8"/>
                        </w:numPr>
                        <w:rPr>
                          <w:rFonts w:ascii="Times New Roman" w:hAnsi="Times New Roman"/>
                          <w:sz w:val="16"/>
                          <w:szCs w:val="16"/>
                        </w:rPr>
                      </w:pPr>
                      <w:r w:rsidRPr="00EC0FFD">
                        <w:rPr>
                          <w:rFonts w:ascii="Times New Roman" w:hAnsi="Times New Roman"/>
                          <w:sz w:val="16"/>
                          <w:szCs w:val="16"/>
                        </w:rPr>
                        <w:t>Random access:</w:t>
                      </w:r>
                    </w:p>
                    <w:p w14:paraId="51584708" w14:textId="77777777" w:rsidR="00FE259A" w:rsidRPr="00823EB3" w:rsidRDefault="00FE259A" w:rsidP="00EC0FFD">
                      <w:pPr>
                        <w:pStyle w:val="ListParagraph"/>
                        <w:numPr>
                          <w:ilvl w:val="2"/>
                          <w:numId w:val="8"/>
                        </w:numPr>
                        <w:rPr>
                          <w:rFonts w:ascii="Times New Roman" w:hAnsi="Times New Roman"/>
                          <w:sz w:val="16"/>
                          <w:szCs w:val="16"/>
                        </w:rPr>
                      </w:pPr>
                      <w:r w:rsidRPr="00823EB3">
                        <w:rPr>
                          <w:rFonts w:ascii="Times New Roman" w:hAnsi="Times New Roman"/>
                          <w:sz w:val="16"/>
                          <w:szCs w:val="16"/>
                        </w:rPr>
                        <w:t>Definition of an offset for the start of the ra-</w:t>
                      </w:r>
                      <w:proofErr w:type="spellStart"/>
                      <w:r w:rsidRPr="00823EB3">
                        <w:rPr>
                          <w:rFonts w:ascii="Times New Roman" w:hAnsi="Times New Roman"/>
                          <w:sz w:val="16"/>
                          <w:szCs w:val="16"/>
                        </w:rPr>
                        <w:t>ResponseWindow</w:t>
                      </w:r>
                      <w:proofErr w:type="spellEnd"/>
                      <w:r w:rsidRPr="00823EB3">
                        <w:rPr>
                          <w:rFonts w:ascii="Times New Roman" w:hAnsi="Times New Roman"/>
                          <w:sz w:val="16"/>
                          <w:szCs w:val="16"/>
                        </w:rPr>
                        <w:t xml:space="preserve"> for NTN.</w:t>
                      </w:r>
                    </w:p>
                    <w:p w14:paraId="42A9D845" w14:textId="77777777" w:rsidR="00FE259A" w:rsidRPr="00823EB3" w:rsidRDefault="00FE259A" w:rsidP="00EC0FFD">
                      <w:pPr>
                        <w:pStyle w:val="ListParagraph"/>
                        <w:numPr>
                          <w:ilvl w:val="2"/>
                          <w:numId w:val="8"/>
                        </w:numPr>
                        <w:rPr>
                          <w:rFonts w:ascii="Times New Roman" w:hAnsi="Times New Roman"/>
                          <w:sz w:val="16"/>
                          <w:szCs w:val="16"/>
                        </w:rPr>
                      </w:pPr>
                      <w:r w:rsidRPr="00823EB3">
                        <w:rPr>
                          <w:rFonts w:ascii="Times New Roman" w:hAnsi="Times New Roman"/>
                          <w:sz w:val="16"/>
                          <w:szCs w:val="16"/>
                        </w:rPr>
                        <w:t>Introduction of an offset for the start of the ra-</w:t>
                      </w:r>
                      <w:proofErr w:type="spellStart"/>
                      <w:r w:rsidRPr="00823EB3">
                        <w:rPr>
                          <w:rFonts w:ascii="Times New Roman" w:hAnsi="Times New Roman"/>
                          <w:sz w:val="16"/>
                          <w:szCs w:val="16"/>
                        </w:rPr>
                        <w:t>ContentionResolutionTimer</w:t>
                      </w:r>
                      <w:proofErr w:type="spellEnd"/>
                      <w:r w:rsidRPr="00823EB3">
                        <w:rPr>
                          <w:rFonts w:ascii="Times New Roman" w:hAnsi="Times New Roman"/>
                          <w:sz w:val="16"/>
                          <w:szCs w:val="16"/>
                        </w:rPr>
                        <w:t xml:space="preserve"> to resolve Random access contention</w:t>
                      </w:r>
                    </w:p>
                    <w:p w14:paraId="08DAAB28" w14:textId="77777777" w:rsidR="00FE259A" w:rsidRPr="00EC0FFD" w:rsidRDefault="00FE259A" w:rsidP="00EC0FFD">
                      <w:pPr>
                        <w:pStyle w:val="ListParagraph"/>
                        <w:numPr>
                          <w:ilvl w:val="2"/>
                          <w:numId w:val="8"/>
                        </w:numPr>
                        <w:rPr>
                          <w:rFonts w:ascii="Times New Roman" w:hAnsi="Times New Roman"/>
                          <w:sz w:val="16"/>
                          <w:szCs w:val="16"/>
                        </w:rPr>
                      </w:pPr>
                      <w:r w:rsidRPr="00EC0FFD">
                        <w:rPr>
                          <w:rFonts w:ascii="Times New Roman" w:hAnsi="Times New Roman"/>
                          <w:sz w:val="16"/>
                          <w:szCs w:val="16"/>
                        </w:rPr>
                        <w:t>Solutions for resolving preamble ambiguity and extension of RAR window.</w:t>
                      </w:r>
                    </w:p>
                    <w:p w14:paraId="47E4DA13" w14:textId="77777777" w:rsidR="00FE259A" w:rsidRPr="00EC0FFD" w:rsidRDefault="00FE259A" w:rsidP="00EC0FFD">
                      <w:pPr>
                        <w:pStyle w:val="ListParagraph"/>
                        <w:numPr>
                          <w:ilvl w:val="2"/>
                          <w:numId w:val="8"/>
                        </w:numPr>
                        <w:spacing w:before="100" w:beforeAutospacing="1" w:after="100" w:afterAutospacing="1"/>
                        <w:rPr>
                          <w:sz w:val="18"/>
                          <w:szCs w:val="18"/>
                        </w:rPr>
                      </w:pPr>
                      <w:r w:rsidRPr="00EC0FFD">
                        <w:rPr>
                          <w:rFonts w:ascii="Times New Roman" w:hAnsi="Times New Roman" w:hint="eastAsia"/>
                          <w:sz w:val="16"/>
                          <w:szCs w:val="16"/>
                        </w:rPr>
                        <w:t>A</w:t>
                      </w:r>
                      <w:r w:rsidRPr="00EC0FFD">
                        <w:rPr>
                          <w:rFonts w:ascii="Times New Roman" w:hAnsi="Times New Roman"/>
                          <w:sz w:val="16"/>
                          <w:szCs w:val="16"/>
                        </w:rPr>
                        <w:t>daptation for Msg-3 scheduling</w:t>
                      </w:r>
                    </w:p>
                    <w:p w14:paraId="318EDBC0" w14:textId="77777777" w:rsidR="00FE259A" w:rsidRPr="00EC0FFD" w:rsidRDefault="00FE259A" w:rsidP="00EC0FFD">
                      <w:pPr>
                        <w:pStyle w:val="ListParagraph"/>
                        <w:numPr>
                          <w:ilvl w:val="3"/>
                          <w:numId w:val="8"/>
                        </w:numPr>
                        <w:spacing w:before="100" w:beforeAutospacing="1" w:after="100" w:afterAutospacing="1"/>
                        <w:rPr>
                          <w:rFonts w:ascii="Times New Roman" w:hAnsi="Times New Roman"/>
                          <w:sz w:val="16"/>
                          <w:szCs w:val="16"/>
                        </w:rPr>
                      </w:pPr>
                      <w:r w:rsidRPr="00EC0FFD">
                        <w:rPr>
                          <w:rFonts w:ascii="Times New Roman" w:hAnsi="Times New Roman"/>
                          <w:sz w:val="16"/>
                          <w:szCs w:val="16"/>
                        </w:rPr>
                        <w:t>Only for the case with pre-compensation of timing and frequency offset at UE side)</w:t>
                      </w:r>
                    </w:p>
                    <w:p w14:paraId="50912E37" w14:textId="77777777" w:rsidR="00FE259A" w:rsidRPr="00EC0FFD" w:rsidRDefault="00FE259A" w:rsidP="00EC0FFD">
                      <w:pPr>
                        <w:pStyle w:val="ListParagraph"/>
                        <w:numPr>
                          <w:ilvl w:val="1"/>
                          <w:numId w:val="8"/>
                        </w:numPr>
                        <w:spacing w:line="256" w:lineRule="auto"/>
                        <w:rPr>
                          <w:rFonts w:ascii="Times New Roman" w:hAnsi="Times New Roman"/>
                          <w:sz w:val="16"/>
                          <w:szCs w:val="16"/>
                        </w:rPr>
                      </w:pPr>
                      <w:r w:rsidRPr="00EC0FFD">
                        <w:rPr>
                          <w:rFonts w:ascii="Times New Roman" w:hAnsi="Times New Roman"/>
                          <w:sz w:val="16"/>
                          <w:szCs w:val="16"/>
                        </w:rPr>
                        <w:t>Enhancement on UL scheduling to reduce scheduling latency.</w:t>
                      </w:r>
                    </w:p>
                    <w:p w14:paraId="6CA6C92C" w14:textId="77777777" w:rsidR="00FE259A" w:rsidRPr="00EC0FFD" w:rsidRDefault="00FE259A" w:rsidP="00EC0FFD">
                      <w:pPr>
                        <w:pStyle w:val="ListParagraph"/>
                        <w:numPr>
                          <w:ilvl w:val="1"/>
                          <w:numId w:val="8"/>
                        </w:numPr>
                        <w:spacing w:line="256" w:lineRule="auto"/>
                        <w:rPr>
                          <w:rFonts w:ascii="Times New Roman" w:hAnsi="Times New Roman"/>
                          <w:sz w:val="16"/>
                          <w:szCs w:val="16"/>
                        </w:rPr>
                      </w:pPr>
                      <w:r w:rsidRPr="00EC0FFD">
                        <w:rPr>
                          <w:rFonts w:ascii="Times New Roman" w:hAnsi="Times New Roman"/>
                          <w:sz w:val="16"/>
                          <w:szCs w:val="16"/>
                        </w:rPr>
                        <w:t xml:space="preserve">DRX: </w:t>
                      </w:r>
                    </w:p>
                    <w:p w14:paraId="55808AFA" w14:textId="77777777" w:rsidR="00FE259A" w:rsidRPr="00823EB3" w:rsidRDefault="00FE259A" w:rsidP="00EC0FFD">
                      <w:pPr>
                        <w:pStyle w:val="ListParagraph"/>
                        <w:numPr>
                          <w:ilvl w:val="2"/>
                          <w:numId w:val="8"/>
                        </w:numPr>
                        <w:spacing w:line="256" w:lineRule="auto"/>
                        <w:rPr>
                          <w:rFonts w:ascii="Times New Roman" w:hAnsi="Times New Roman"/>
                          <w:sz w:val="16"/>
                          <w:szCs w:val="16"/>
                        </w:rPr>
                      </w:pPr>
                      <w:r w:rsidRPr="00823EB3">
                        <w:rPr>
                          <w:rFonts w:ascii="Times New Roman" w:hAnsi="Times New Roman"/>
                          <w:sz w:val="16"/>
                          <w:szCs w:val="16"/>
                          <w:lang w:eastAsia="fi-FI"/>
                        </w:rPr>
                        <w:t xml:space="preserve">If HARQ </w:t>
                      </w:r>
                      <w:r w:rsidRPr="00823EB3">
                        <w:rPr>
                          <w:rFonts w:ascii="Times New Roman" w:eastAsia="宋体" w:hAnsi="Times New Roman" w:hint="eastAsia"/>
                          <w:sz w:val="16"/>
                          <w:szCs w:val="16"/>
                          <w:lang w:eastAsia="zh-CN"/>
                        </w:rPr>
                        <w:t>feedback is enabled</w:t>
                      </w:r>
                      <w:r w:rsidRPr="00823EB3">
                        <w:rPr>
                          <w:rFonts w:ascii="Times New Roman" w:hAnsi="Times New Roman"/>
                          <w:sz w:val="16"/>
                          <w:szCs w:val="16"/>
                          <w:lang w:eastAsia="fi-FI"/>
                        </w:rPr>
                        <w:t xml:space="preserve">, </w:t>
                      </w:r>
                      <w:r w:rsidRPr="00823EB3">
                        <w:rPr>
                          <w:rFonts w:ascii="Times New Roman" w:hAnsi="Times New Roman"/>
                          <w:sz w:val="16"/>
                          <w:szCs w:val="16"/>
                        </w:rPr>
                        <w:t xml:space="preserve">introduction of </w:t>
                      </w:r>
                      <w:r w:rsidRPr="00823EB3">
                        <w:rPr>
                          <w:rFonts w:ascii="Times New Roman" w:hAnsi="Times New Roman"/>
                          <w:iCs/>
                          <w:sz w:val="16"/>
                          <w:szCs w:val="16"/>
                        </w:rPr>
                        <w:t xml:space="preserve">offset for </w:t>
                      </w:r>
                      <w:r w:rsidRPr="00823EB3">
                        <w:rPr>
                          <w:rFonts w:ascii="Times New Roman" w:hAnsi="Times New Roman"/>
                          <w:i/>
                          <w:iCs/>
                          <w:sz w:val="16"/>
                          <w:szCs w:val="16"/>
                        </w:rPr>
                        <w:t xml:space="preserve">drx-HARQ-RTT-TimerDL </w:t>
                      </w:r>
                      <w:r w:rsidRPr="00823EB3">
                        <w:rPr>
                          <w:rFonts w:ascii="Times New Roman" w:hAnsi="Times New Roman"/>
                          <w:iCs/>
                          <w:sz w:val="16"/>
                          <w:szCs w:val="16"/>
                        </w:rPr>
                        <w:t xml:space="preserve">and </w:t>
                      </w:r>
                      <w:r w:rsidRPr="00823EB3">
                        <w:rPr>
                          <w:rFonts w:ascii="Times New Roman" w:hAnsi="Times New Roman"/>
                          <w:i/>
                          <w:iCs/>
                          <w:sz w:val="16"/>
                          <w:szCs w:val="16"/>
                        </w:rPr>
                        <w:t>drx-HARQ-RTT-TimerUL</w:t>
                      </w:r>
                      <w:r w:rsidRPr="00823EB3">
                        <w:rPr>
                          <w:rFonts w:ascii="Times New Roman" w:hAnsi="Times New Roman"/>
                          <w:iCs/>
                          <w:sz w:val="16"/>
                          <w:szCs w:val="16"/>
                        </w:rPr>
                        <w:t>.</w:t>
                      </w:r>
                    </w:p>
                    <w:p w14:paraId="3F608B89" w14:textId="77777777" w:rsidR="00FE259A" w:rsidRPr="00EC0FFD" w:rsidRDefault="00FE259A" w:rsidP="00EC0FFD">
                      <w:pPr>
                        <w:pStyle w:val="ListParagraph"/>
                        <w:numPr>
                          <w:ilvl w:val="2"/>
                          <w:numId w:val="8"/>
                        </w:numPr>
                        <w:spacing w:line="256" w:lineRule="auto"/>
                        <w:rPr>
                          <w:rFonts w:ascii="Times New Roman" w:hAnsi="Times New Roman"/>
                          <w:sz w:val="16"/>
                          <w:szCs w:val="16"/>
                        </w:rPr>
                      </w:pPr>
                      <w:r w:rsidRPr="00EC0FFD">
                        <w:rPr>
                          <w:rFonts w:ascii="Times New Roman" w:hAnsi="Times New Roman"/>
                          <w:sz w:val="16"/>
                          <w:szCs w:val="16"/>
                        </w:rPr>
                        <w:t>If HARQ is turned off per HARQ process, adaptions in HARQ procedure</w:t>
                      </w:r>
                    </w:p>
                    <w:p w14:paraId="75D5E421"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 xml:space="preserve">Scheduling Request: Extension of the value range of </w:t>
                      </w:r>
                      <w:proofErr w:type="spellStart"/>
                      <w:r w:rsidRPr="00823EB3">
                        <w:rPr>
                          <w:rFonts w:ascii="Times New Roman" w:hAnsi="Times New Roman"/>
                          <w:i/>
                          <w:sz w:val="16"/>
                          <w:szCs w:val="16"/>
                        </w:rPr>
                        <w:t>sr-ProhibitTimer</w:t>
                      </w:r>
                      <w:proofErr w:type="spellEnd"/>
                      <w:r w:rsidRPr="00823EB3">
                        <w:rPr>
                          <w:rFonts w:ascii="Times New Roman" w:hAnsi="Times New Roman"/>
                          <w:i/>
                          <w:sz w:val="16"/>
                          <w:szCs w:val="16"/>
                        </w:rPr>
                        <w:t xml:space="preserve"> </w:t>
                      </w:r>
                    </w:p>
                    <w:p w14:paraId="299DAC44" w14:textId="77777777"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RLC</w:t>
                      </w:r>
                    </w:p>
                    <w:p w14:paraId="20E6844C"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 xml:space="preserve">Status reporting: Extension of the value range of </w:t>
                      </w:r>
                      <w:r w:rsidRPr="00823EB3">
                        <w:rPr>
                          <w:rFonts w:ascii="Times New Roman" w:hAnsi="Times New Roman"/>
                          <w:i/>
                          <w:sz w:val="16"/>
                          <w:szCs w:val="16"/>
                        </w:rPr>
                        <w:t>t-Reassembly</w:t>
                      </w:r>
                    </w:p>
                    <w:p w14:paraId="466E180C" w14:textId="77777777" w:rsidR="00FE259A" w:rsidRPr="00EC0FFD" w:rsidRDefault="00FE259A" w:rsidP="00EC0FFD">
                      <w:pPr>
                        <w:pStyle w:val="ListParagraph"/>
                        <w:numPr>
                          <w:ilvl w:val="1"/>
                          <w:numId w:val="8"/>
                        </w:numPr>
                        <w:rPr>
                          <w:rFonts w:ascii="Times New Roman" w:hAnsi="Times New Roman"/>
                          <w:sz w:val="16"/>
                          <w:szCs w:val="16"/>
                        </w:rPr>
                      </w:pPr>
                      <w:r w:rsidRPr="00EC0FFD">
                        <w:rPr>
                          <w:rFonts w:ascii="Times New Roman" w:hAnsi="Times New Roman"/>
                          <w:sz w:val="16"/>
                          <w:szCs w:val="16"/>
                        </w:rPr>
                        <w:t xml:space="preserve">Sequence Numbers: extension of the SN space only for GEO scenarios </w:t>
                      </w:r>
                    </w:p>
                    <w:p w14:paraId="089D664B" w14:textId="77777777" w:rsidR="00FE259A" w:rsidRPr="00EC0FFD" w:rsidRDefault="00FE259A" w:rsidP="00EC0FFD">
                      <w:pPr>
                        <w:pStyle w:val="ListParagraph"/>
                        <w:numPr>
                          <w:ilvl w:val="0"/>
                          <w:numId w:val="8"/>
                        </w:numPr>
                        <w:rPr>
                          <w:rFonts w:ascii="Times New Roman" w:hAnsi="Times New Roman"/>
                          <w:sz w:val="16"/>
                          <w:szCs w:val="16"/>
                        </w:rPr>
                      </w:pPr>
                      <w:r w:rsidRPr="00EC0FFD">
                        <w:rPr>
                          <w:rFonts w:ascii="Times New Roman" w:hAnsi="Times New Roman"/>
                          <w:sz w:val="16"/>
                          <w:szCs w:val="16"/>
                        </w:rPr>
                        <w:t>PDCP</w:t>
                      </w:r>
                    </w:p>
                    <w:p w14:paraId="196A0E3C" w14:textId="77777777" w:rsidR="00FE259A" w:rsidRPr="00823EB3" w:rsidRDefault="00FE259A" w:rsidP="00EC0FFD">
                      <w:pPr>
                        <w:pStyle w:val="ListParagraph"/>
                        <w:numPr>
                          <w:ilvl w:val="1"/>
                          <w:numId w:val="8"/>
                        </w:numPr>
                        <w:rPr>
                          <w:rFonts w:ascii="Times New Roman" w:hAnsi="Times New Roman"/>
                          <w:sz w:val="16"/>
                          <w:szCs w:val="16"/>
                        </w:rPr>
                      </w:pPr>
                      <w:r w:rsidRPr="00823EB3">
                        <w:rPr>
                          <w:rFonts w:ascii="Times New Roman" w:hAnsi="Times New Roman"/>
                          <w:sz w:val="16"/>
                          <w:szCs w:val="16"/>
                        </w:rPr>
                        <w:t>SDU discard: Extension of t</w:t>
                      </w:r>
                      <w:r w:rsidRPr="00823EB3">
                        <w:rPr>
                          <w:rFonts w:ascii="Times New Roman" w:hAnsi="Times New Roman"/>
                          <w:sz w:val="16"/>
                          <w:szCs w:val="16"/>
                          <w:lang w:eastAsia="ja-JP"/>
                        </w:rPr>
                        <w:t xml:space="preserve">he value range of </w:t>
                      </w:r>
                      <w:proofErr w:type="spellStart"/>
                      <w:r w:rsidRPr="00823EB3">
                        <w:rPr>
                          <w:rFonts w:ascii="Times New Roman" w:hAnsi="Times New Roman"/>
                          <w:i/>
                          <w:sz w:val="16"/>
                          <w:szCs w:val="16"/>
                          <w:lang w:eastAsia="ja-JP"/>
                        </w:rPr>
                        <w:t>discardTimer</w:t>
                      </w:r>
                      <w:proofErr w:type="spellEnd"/>
                      <w:r w:rsidRPr="00823EB3">
                        <w:rPr>
                          <w:rFonts w:ascii="Times New Roman" w:hAnsi="Times New Roman"/>
                          <w:sz w:val="16"/>
                          <w:szCs w:val="16"/>
                        </w:rPr>
                        <w:t>.</w:t>
                      </w:r>
                    </w:p>
                    <w:p w14:paraId="0CC68BA9" w14:textId="19B47A2D" w:rsidR="00FE259A" w:rsidRPr="00EC0FFD" w:rsidRDefault="00FE259A" w:rsidP="00EC0FFD">
                      <w:pPr>
                        <w:pStyle w:val="ListParagraph"/>
                        <w:numPr>
                          <w:ilvl w:val="1"/>
                          <w:numId w:val="8"/>
                        </w:numPr>
                        <w:rPr>
                          <w:sz w:val="18"/>
                          <w:szCs w:val="18"/>
                        </w:rPr>
                      </w:pPr>
                      <w:r w:rsidRPr="00EC0FFD">
                        <w:rPr>
                          <w:rFonts w:ascii="Times New Roman" w:hAnsi="Times New Roman"/>
                          <w:sz w:val="16"/>
                          <w:szCs w:val="16"/>
                        </w:rPr>
                        <w:t>Sequence Numbers: extension of the SN space for GEO scenarios.</w:t>
                      </w:r>
                    </w:p>
                  </w:txbxContent>
                </v:textbox>
                <w10:wrap type="square" anchorx="margin"/>
              </v:shape>
            </w:pict>
          </mc:Fallback>
        </mc:AlternateContent>
      </w:r>
      <w:r>
        <w:t xml:space="preserve">The work item description </w:t>
      </w:r>
      <w:r>
        <w:fldChar w:fldCharType="begin"/>
      </w:r>
      <w:r>
        <w:instrText xml:space="preserve"> REF _Ref47355010 \r \h </w:instrText>
      </w:r>
      <w:r>
        <w:fldChar w:fldCharType="separate"/>
      </w:r>
      <w:r>
        <w:t>[2]</w:t>
      </w:r>
      <w:r>
        <w:fldChar w:fldCharType="end"/>
      </w:r>
      <w:r>
        <w:t xml:space="preserve"> defines a number of timers need to be adjusted:</w:t>
      </w:r>
    </w:p>
    <w:p w14:paraId="7559ED77" w14:textId="670721F7" w:rsidR="00EC0FFD" w:rsidRPr="006E13D1" w:rsidRDefault="00FE259A" w:rsidP="00A209D6">
      <w:r>
        <w:t>In this contribution a method to adjust the timers simultaneously, across communication layers is discussed.</w:t>
      </w:r>
    </w:p>
    <w:p w14:paraId="7FEA52AC" w14:textId="74072903" w:rsidR="0090169B" w:rsidRDefault="00A209D6" w:rsidP="00907B47">
      <w:pPr>
        <w:pStyle w:val="Heading1"/>
      </w:pPr>
      <w:r w:rsidRPr="00823EB3">
        <w:t>2</w:t>
      </w:r>
      <w:r w:rsidRPr="00823EB3">
        <w:tab/>
      </w:r>
      <w:r w:rsidR="00907B47" w:rsidRPr="00823EB3">
        <w:tab/>
      </w:r>
      <w:r w:rsidR="00EC0FFD" w:rsidRPr="00823EB3">
        <w:t>Adjusting timers according to delay variations</w:t>
      </w:r>
      <w:r w:rsidR="00B929EE" w:rsidRPr="00823EB3">
        <w:t xml:space="preserve"> </w:t>
      </w:r>
    </w:p>
    <w:p w14:paraId="47B726D6" w14:textId="77777777" w:rsidR="00907B47" w:rsidRDefault="00907B47" w:rsidP="00907B47">
      <w:pPr>
        <w:rPr>
          <w:lang w:val="en-US"/>
        </w:rPr>
      </w:pPr>
      <w:r>
        <w:t xml:space="preserve">In the TR </w:t>
      </w:r>
      <w:r>
        <w:fldChar w:fldCharType="begin"/>
      </w:r>
      <w:r>
        <w:instrText xml:space="preserve"> REF _Ref45103500 \r \h </w:instrText>
      </w:r>
      <w:r>
        <w:fldChar w:fldCharType="separate"/>
      </w:r>
      <w:r>
        <w:t>[1]</w:t>
      </w:r>
      <w:r>
        <w:fldChar w:fldCharType="end"/>
      </w:r>
      <w:r>
        <w:t xml:space="preserve"> and the WI </w:t>
      </w:r>
      <w:r>
        <w:fldChar w:fldCharType="begin"/>
      </w:r>
      <w:r>
        <w:instrText xml:space="preserve"> REF _Ref45103532 \r \h </w:instrText>
      </w:r>
      <w:r>
        <w:fldChar w:fldCharType="separate"/>
      </w:r>
      <w:r>
        <w:t>[2]</w:t>
      </w:r>
      <w:r>
        <w:fldChar w:fldCharType="end"/>
      </w:r>
      <w:r>
        <w:t xml:space="preserve"> it has been defined that certain timers on e.g. MAC, RLC and PDCP layer need to be changed to enable NR over NTN. The timers are part of control loops, which define actions based on the time since another event. For example, the MAC </w:t>
      </w:r>
      <w:proofErr w:type="spellStart"/>
      <w:r>
        <w:rPr>
          <w:i/>
          <w:iCs/>
          <w:lang w:val="en-US"/>
        </w:rPr>
        <w:t>sr-ProhibitTimer</w:t>
      </w:r>
      <w:proofErr w:type="spellEnd"/>
      <w:r>
        <w:rPr>
          <w:i/>
          <w:iCs/>
          <w:lang w:val="en-US"/>
        </w:rPr>
        <w:t xml:space="preserve"> </w:t>
      </w:r>
      <w:r>
        <w:rPr>
          <w:lang w:val="en-US"/>
        </w:rPr>
        <w:t xml:space="preserve">defines a period after sending a scheduling request (SR), where the UE is not allowed to send a new SR. </w:t>
      </w:r>
    </w:p>
    <w:p w14:paraId="25C4EAB9" w14:textId="72497E40" w:rsidR="00907B47" w:rsidRDefault="00AC2496" w:rsidP="00907B47">
      <w:pPr>
        <w:rPr>
          <w:lang w:val="en-US"/>
        </w:rPr>
      </w:pPr>
      <w:r>
        <w:rPr>
          <w:lang w:val="en-US"/>
        </w:rPr>
        <w:t>In LEO scenarios, t</w:t>
      </w:r>
      <w:r w:rsidR="00907B47">
        <w:rPr>
          <w:lang w:val="en-US"/>
        </w:rPr>
        <w:t xml:space="preserve">he timers need to be updated </w:t>
      </w:r>
      <w:r w:rsidR="0040491D">
        <w:rPr>
          <w:lang w:val="en-US"/>
        </w:rPr>
        <w:t xml:space="preserve">regularly </w:t>
      </w:r>
      <w:r w:rsidR="00907B47">
        <w:rPr>
          <w:lang w:val="en-US"/>
        </w:rPr>
        <w:t xml:space="preserve">to handle longer and varying delays of NTN, which depend heavily on the </w:t>
      </w:r>
      <w:r w:rsidR="003F0052">
        <w:rPr>
          <w:lang w:val="en-US"/>
        </w:rPr>
        <w:t>deployment scenario; i.e. earth-fixed or earth-moving cell, satellite altitude, satellite constellation, feeder link.</w:t>
      </w:r>
    </w:p>
    <w:p w14:paraId="2174A7B5" w14:textId="55F80F4B" w:rsidR="00874E20" w:rsidRPr="00874E20" w:rsidRDefault="00874E20" w:rsidP="00907B47">
      <w:pPr>
        <w:rPr>
          <w:lang w:val="en-US"/>
        </w:rPr>
      </w:pPr>
      <w:r>
        <w:rPr>
          <w:lang w:val="en-US"/>
        </w:rPr>
        <w:t xml:space="preserve">As an example, </w:t>
      </w:r>
      <w:r>
        <w:rPr>
          <w:lang w:val="en-US"/>
        </w:rPr>
        <w:fldChar w:fldCharType="begin"/>
      </w:r>
      <w:r>
        <w:rPr>
          <w:lang w:val="en-US"/>
        </w:rPr>
        <w:instrText xml:space="preserve"> REF _Ref46747479 \h </w:instrText>
      </w:r>
      <w:r>
        <w:rPr>
          <w:lang w:val="en-US"/>
        </w:rPr>
      </w:r>
      <w:r>
        <w:rPr>
          <w:lang w:val="en-US"/>
        </w:rPr>
        <w:fldChar w:fldCharType="separate"/>
      </w:r>
      <w:r>
        <w:t xml:space="preserve">Figure </w:t>
      </w:r>
      <w:r>
        <w:rPr>
          <w:lang w:val="en-US"/>
        </w:rPr>
        <w:fldChar w:fldCharType="end"/>
      </w:r>
      <w:r w:rsidR="000F7A3C">
        <w:rPr>
          <w:lang w:val="en-US"/>
        </w:rPr>
        <w:t>1</w:t>
      </w:r>
      <w:r>
        <w:rPr>
          <w:lang w:val="en-US"/>
        </w:rPr>
        <w:t xml:space="preserve"> provides the propagation delay for a few earth-fixed cell scenarios using a transparent LEO satellite. The first line (</w:t>
      </w:r>
      <w:r w:rsidRPr="00874E20">
        <w:rPr>
          <w:i/>
          <w:iCs/>
          <w:lang w:val="en-US"/>
        </w:rPr>
        <w:t>LEO-600 service link</w:t>
      </w:r>
      <w:r>
        <w:rPr>
          <w:lang w:val="en-US"/>
        </w:rPr>
        <w:t xml:space="preserve">) defines the service link delay for an earth-fixed cell with a reference point at nadir and a satellite at 600 km altitude moving from a 30 degrees elevation angle on one side to 30 degrees elevation angle at the opposite side. The </w:t>
      </w:r>
      <w:r w:rsidRPr="00874E20">
        <w:rPr>
          <w:i/>
          <w:iCs/>
          <w:lang w:val="en-US"/>
        </w:rPr>
        <w:t>LEO-600 feeder link case 1</w:t>
      </w:r>
      <w:r>
        <w:rPr>
          <w:lang w:val="en-US"/>
        </w:rPr>
        <w:t xml:space="preserve"> assumes the NTN gateway is at the exact same location, resulting the total delay illustrated with </w:t>
      </w:r>
      <w:r>
        <w:rPr>
          <w:i/>
          <w:iCs/>
          <w:lang w:val="en-US"/>
        </w:rPr>
        <w:t>LEO-600 total case 1</w:t>
      </w:r>
      <w:r>
        <w:rPr>
          <w:lang w:val="en-US"/>
        </w:rPr>
        <w:t>. A second feeder link case (</w:t>
      </w:r>
      <w:r>
        <w:rPr>
          <w:i/>
          <w:iCs/>
          <w:lang w:val="en-US"/>
        </w:rPr>
        <w:t>LEO-600 feeder link case 2)</w:t>
      </w:r>
      <w:r>
        <w:rPr>
          <w:lang w:val="en-US"/>
        </w:rPr>
        <w:t xml:space="preserve">, is defined for a scenario where the NTN gateway is on the path of the satellite’s orbit, but 1200 km away. Furthermore, it is assumed the satellite at 600 km altitude is moving away from the gateway. The resulting total delay is given by </w:t>
      </w:r>
      <w:r>
        <w:rPr>
          <w:i/>
          <w:iCs/>
          <w:lang w:val="en-US"/>
        </w:rPr>
        <w:t>LEO-600 case 2 total</w:t>
      </w:r>
      <w:r>
        <w:rPr>
          <w:lang w:val="en-US"/>
        </w:rPr>
        <w:t xml:space="preserve">. Finally, </w:t>
      </w:r>
      <w:r>
        <w:rPr>
          <w:i/>
          <w:iCs/>
          <w:lang w:val="en-US"/>
        </w:rPr>
        <w:t>LEO-1500 total case 1</w:t>
      </w:r>
      <w:r>
        <w:rPr>
          <w:lang w:val="en-US"/>
        </w:rPr>
        <w:t xml:space="preserve">, replicates the scenario of case 1, but using 1500 km altitude. Based on these examples it can be observed how the propagation delay varies significantly over time. </w:t>
      </w:r>
    </w:p>
    <w:p w14:paraId="7232B3A2" w14:textId="77777777" w:rsidR="00874E20" w:rsidRDefault="00874E20" w:rsidP="00874E20">
      <w:pPr>
        <w:keepNext/>
        <w:jc w:val="center"/>
      </w:pPr>
      <w:r>
        <w:rPr>
          <w:noProof/>
        </w:rPr>
        <w:lastRenderedPageBreak/>
        <w:drawing>
          <wp:inline distT="0" distB="0" distL="0" distR="0" wp14:anchorId="51FBEC8B" wp14:editId="4E4BC7AE">
            <wp:extent cx="4183039" cy="2822824"/>
            <wp:effectExtent l="0" t="0" r="8255" b="0"/>
            <wp:docPr id="5131812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4183039" cy="2822824"/>
                    </a:xfrm>
                    <a:prstGeom prst="rect">
                      <a:avLst/>
                    </a:prstGeom>
                  </pic:spPr>
                </pic:pic>
              </a:graphicData>
            </a:graphic>
          </wp:inline>
        </w:drawing>
      </w:r>
    </w:p>
    <w:p w14:paraId="3042E791" w14:textId="59A84722" w:rsidR="00874E20" w:rsidRDefault="00874E20" w:rsidP="00874E20">
      <w:pPr>
        <w:pStyle w:val="Caption"/>
        <w:jc w:val="center"/>
        <w:rPr>
          <w:lang w:val="en-US"/>
        </w:rPr>
      </w:pPr>
      <w:bookmarkStart w:id="0" w:name="_Ref46747479"/>
      <w:r>
        <w:t xml:space="preserve">Figure </w:t>
      </w:r>
      <w:bookmarkEnd w:id="0"/>
      <w:r w:rsidR="000F7A3C">
        <w:t xml:space="preserve">1 </w:t>
      </w:r>
      <w:r>
        <w:t>Examples of earth-fixed cell propagation delays</w:t>
      </w:r>
      <w:r>
        <w:rPr>
          <w:noProof/>
        </w:rPr>
        <w:t>.</w:t>
      </w:r>
    </w:p>
    <w:p w14:paraId="5C717F4A" w14:textId="087D537E" w:rsidR="003F0052" w:rsidRDefault="003F0052" w:rsidP="00907B47">
      <w:pPr>
        <w:rPr>
          <w:lang w:val="en-US"/>
        </w:rPr>
      </w:pPr>
      <w:r>
        <w:rPr>
          <w:lang w:val="en-US"/>
        </w:rPr>
        <w:t>Extending the timers to static values, which reflect the maximum observable delay is suboptimal, because the maximum value can be significantly larger than the minimum delay observed in a transparent satellite scenario, where both service and feeder link delays must be included. If the maximum delay is applied the network will use too conservative timers for long periods of time, eventually reducing the user experience and general system efficiency.</w:t>
      </w:r>
    </w:p>
    <w:p w14:paraId="4104D0CB" w14:textId="27BDC775" w:rsidR="0009323B" w:rsidRPr="00714E6B" w:rsidRDefault="0009323B" w:rsidP="00800BFE">
      <w:pPr>
        <w:pStyle w:val="ListParagraph"/>
        <w:numPr>
          <w:ilvl w:val="0"/>
          <w:numId w:val="22"/>
        </w:numPr>
        <w:rPr>
          <w:b/>
          <w:bCs/>
          <w:sz w:val="20"/>
          <w:szCs w:val="20"/>
        </w:rPr>
      </w:pPr>
      <w:r w:rsidRPr="00714E6B">
        <w:rPr>
          <w:b/>
          <w:bCs/>
          <w:sz w:val="20"/>
          <w:szCs w:val="20"/>
        </w:rPr>
        <w:t>Using maximum delay (sum of service and feeder links) for timers impacts user experience and system efficiency negatively.</w:t>
      </w:r>
    </w:p>
    <w:p w14:paraId="1C2E19AB" w14:textId="20F062A3" w:rsidR="003F0052" w:rsidRDefault="003F0052" w:rsidP="00907B47">
      <w:pPr>
        <w:rPr>
          <w:lang w:val="en-US"/>
        </w:rPr>
      </w:pPr>
      <w:r>
        <w:rPr>
          <w:lang w:val="en-US"/>
        </w:rPr>
        <w:t>On the contrary, if a variable value is used per timer it will be necessary to update each timer with a certain rate. Such an update per timer will be UE-specific and therefore result in significant control overhead, when considering the larger number of control loop timers in NR.</w:t>
      </w:r>
    </w:p>
    <w:p w14:paraId="0163E0C9" w14:textId="3699A0C2" w:rsidR="003F0052" w:rsidRPr="00714E6B" w:rsidRDefault="0009323B" w:rsidP="00800BFE">
      <w:pPr>
        <w:pStyle w:val="ListParagraph"/>
        <w:numPr>
          <w:ilvl w:val="0"/>
          <w:numId w:val="22"/>
        </w:numPr>
        <w:rPr>
          <w:b/>
          <w:bCs/>
          <w:sz w:val="20"/>
          <w:szCs w:val="20"/>
        </w:rPr>
      </w:pPr>
      <w:r w:rsidRPr="00714E6B">
        <w:rPr>
          <w:b/>
          <w:bCs/>
          <w:sz w:val="20"/>
          <w:szCs w:val="20"/>
        </w:rPr>
        <w:t xml:space="preserve">Using variable delay values per timer increases control overhead due to per-value, per-UE </w:t>
      </w:r>
      <w:proofErr w:type="spellStart"/>
      <w:r w:rsidRPr="00714E6B">
        <w:rPr>
          <w:b/>
          <w:bCs/>
          <w:sz w:val="20"/>
          <w:szCs w:val="20"/>
        </w:rPr>
        <w:t>signalling</w:t>
      </w:r>
      <w:proofErr w:type="spellEnd"/>
      <w:r w:rsidRPr="00714E6B">
        <w:rPr>
          <w:b/>
          <w:bCs/>
          <w:sz w:val="20"/>
          <w:szCs w:val="20"/>
        </w:rPr>
        <w:t>.</w:t>
      </w:r>
    </w:p>
    <w:p w14:paraId="1D09017A" w14:textId="7E3DCB8C" w:rsidR="00737A2B" w:rsidRDefault="001E75BE" w:rsidP="00907B47">
      <w:r>
        <w:t>However, the service and feeder link delays can be estimated</w:t>
      </w:r>
      <w:r w:rsidR="00BF5D0D">
        <w:t>, by the network,</w:t>
      </w:r>
      <w:r>
        <w:t xml:space="preserve"> based on satellite ephemeris, ground station location, </w:t>
      </w:r>
      <w:r w:rsidR="00BF5D0D">
        <w:t xml:space="preserve">processing times, </w:t>
      </w:r>
      <w:r>
        <w:t xml:space="preserve">and deployment scenario. The sum of the service and feeder link delays are defining the total delay, which the UE timers need to handle, in the transparent satellite case. </w:t>
      </w:r>
      <w:r w:rsidR="00496121">
        <w:t xml:space="preserve">In principle, the total delay can therefore be predicted per UE, if their location is known. </w:t>
      </w:r>
      <w:r w:rsidR="00E10791">
        <w:t xml:space="preserve">Knowing the delay as a function of time may be used to adjust the timers at various </w:t>
      </w:r>
      <w:r w:rsidR="00737A2B">
        <w:t>layers</w:t>
      </w:r>
      <w:r w:rsidR="00BF5D0D">
        <w:t>,</w:t>
      </w:r>
      <w:r w:rsidR="00737A2B">
        <w:t xml:space="preserve"> but</w:t>
      </w:r>
      <w:r w:rsidR="00E10791">
        <w:t xml:space="preserve"> would still require </w:t>
      </w:r>
      <w:r w:rsidR="00737A2B">
        <w:t xml:space="preserve">specific </w:t>
      </w:r>
      <w:r w:rsidR="00E10791">
        <w:t xml:space="preserve">signalling to each UE. </w:t>
      </w:r>
    </w:p>
    <w:p w14:paraId="426E79E6" w14:textId="3EB8F05E" w:rsidR="00737A2B" w:rsidRPr="00714E6B" w:rsidRDefault="00737A2B" w:rsidP="00800BFE">
      <w:pPr>
        <w:pStyle w:val="ListParagraph"/>
        <w:numPr>
          <w:ilvl w:val="0"/>
          <w:numId w:val="22"/>
        </w:numPr>
        <w:rPr>
          <w:b/>
          <w:bCs/>
          <w:sz w:val="20"/>
          <w:szCs w:val="20"/>
        </w:rPr>
      </w:pPr>
      <w:r w:rsidRPr="00714E6B">
        <w:rPr>
          <w:b/>
          <w:bCs/>
          <w:sz w:val="20"/>
          <w:szCs w:val="20"/>
        </w:rPr>
        <w:t xml:space="preserve">The delay between a gNB and a UE </w:t>
      </w:r>
      <w:r w:rsidR="00BF5D0D" w:rsidRPr="00714E6B">
        <w:rPr>
          <w:b/>
          <w:bCs/>
          <w:sz w:val="20"/>
          <w:szCs w:val="20"/>
        </w:rPr>
        <w:t>depends on</w:t>
      </w:r>
      <w:r w:rsidRPr="00714E6B">
        <w:rPr>
          <w:b/>
          <w:bCs/>
          <w:sz w:val="20"/>
          <w:szCs w:val="20"/>
        </w:rPr>
        <w:t xml:space="preserve"> among others satellite ephemeris, ground station location, </w:t>
      </w:r>
      <w:r w:rsidR="00E8465C" w:rsidRPr="00714E6B">
        <w:rPr>
          <w:b/>
          <w:bCs/>
          <w:sz w:val="20"/>
          <w:szCs w:val="20"/>
        </w:rPr>
        <w:t xml:space="preserve">satellite processing times, </w:t>
      </w:r>
      <w:r w:rsidRPr="00714E6B">
        <w:rPr>
          <w:b/>
          <w:bCs/>
          <w:sz w:val="20"/>
          <w:szCs w:val="20"/>
        </w:rPr>
        <w:t>and UE location.</w:t>
      </w:r>
    </w:p>
    <w:p w14:paraId="3CB5311E" w14:textId="78469B4D" w:rsidR="00BF5D0D" w:rsidRDefault="00BF5D0D" w:rsidP="00907B47">
      <w:r>
        <w:t>One issue is that all the required knowledge may not be available in the UE, at least not with sufficient accuracy. Furthermore, a continuous estimation of the changing delay may imply a significant processing burden on the UE.</w:t>
      </w:r>
    </w:p>
    <w:p w14:paraId="4D5E8475" w14:textId="282284B2" w:rsidR="001E75BE" w:rsidRDefault="00E10791" w:rsidP="00907B47">
      <w:r>
        <w:t xml:space="preserve">Another option may be to define a common reference point for a NR cell slightly above Earth. In this way the delta delay </w:t>
      </w:r>
      <w:r w:rsidR="00737A2B">
        <w:t>between each UE and the common reference point i</w:t>
      </w:r>
      <w:r>
        <w:t xml:space="preserve">s minimal, while a single total delay as a function of time can be broadcasted. Using such a </w:t>
      </w:r>
      <w:r w:rsidR="00737A2B">
        <w:t xml:space="preserve">broadcasted </w:t>
      </w:r>
      <w:r>
        <w:t>function</w:t>
      </w:r>
      <w:r w:rsidR="00737A2B">
        <w:t>,</w:t>
      </w:r>
      <w:r>
        <w:t xml:space="preserve"> each UE can then adjust their timers, potentially with a conservative safety margin</w:t>
      </w:r>
      <w:r w:rsidR="00737A2B">
        <w:t xml:space="preserve"> to account for the residual delay between the reference point and the UE’s location</w:t>
      </w:r>
      <w:r>
        <w:t>.</w:t>
      </w:r>
      <w:r w:rsidR="00737A2B">
        <w:t xml:space="preserve"> </w:t>
      </w:r>
      <w:r w:rsidR="00EC0FFD">
        <w:t>By ensuring the cell common reference point is close to the UEs and assuming relatively small cell sizes, the UE-specific delay from the reference point to the actual UE location may be so small that it does not impact the overall choice of the timer value.</w:t>
      </w:r>
    </w:p>
    <w:p w14:paraId="20030CFB" w14:textId="4C0DBC41" w:rsidR="00947569" w:rsidRPr="00714E6B" w:rsidRDefault="00947569" w:rsidP="00800BFE">
      <w:pPr>
        <w:pStyle w:val="ListParagraph"/>
        <w:numPr>
          <w:ilvl w:val="0"/>
          <w:numId w:val="22"/>
        </w:numPr>
        <w:rPr>
          <w:b/>
          <w:bCs/>
          <w:sz w:val="20"/>
          <w:szCs w:val="20"/>
        </w:rPr>
      </w:pPr>
      <w:r w:rsidRPr="00714E6B">
        <w:rPr>
          <w:b/>
          <w:bCs/>
          <w:sz w:val="20"/>
          <w:szCs w:val="20"/>
        </w:rPr>
        <w:t>The delay between a gNB and a cell common reference point can be broadcasted an</w:t>
      </w:r>
      <w:r w:rsidR="00BF5D0D" w:rsidRPr="00714E6B">
        <w:rPr>
          <w:b/>
          <w:bCs/>
          <w:sz w:val="20"/>
          <w:szCs w:val="20"/>
        </w:rPr>
        <w:t>d</w:t>
      </w:r>
      <w:r w:rsidRPr="00714E6B">
        <w:rPr>
          <w:b/>
          <w:bCs/>
          <w:sz w:val="20"/>
          <w:szCs w:val="20"/>
        </w:rPr>
        <w:t xml:space="preserve"> applied by UEs to update timers.</w:t>
      </w:r>
    </w:p>
    <w:p w14:paraId="5D5B62D1" w14:textId="4BFDEBF0" w:rsidR="00BF5D0D" w:rsidRPr="00BF5D0D" w:rsidRDefault="00BF5D0D" w:rsidP="00907B47">
      <w:r w:rsidRPr="00BF5D0D">
        <w:t xml:space="preserve">A key </w:t>
      </w:r>
      <w:r>
        <w:t>issue for further study is the required accuracy and granularity per timer, which depends on the communication layer the timer resides in.</w:t>
      </w:r>
    </w:p>
    <w:p w14:paraId="1F487944" w14:textId="4FE7AE39" w:rsidR="00737A2B" w:rsidRDefault="00737A2B" w:rsidP="00907B47">
      <w:r>
        <w:lastRenderedPageBreak/>
        <w:t>If UEs autonomously adjust the timers on various layers</w:t>
      </w:r>
      <w:r w:rsidR="00BF5D0D">
        <w:t>,</w:t>
      </w:r>
      <w:r>
        <w:t xml:space="preserve"> the communication with the network </w:t>
      </w:r>
      <w:r w:rsidR="00BF5D0D">
        <w:t>may</w:t>
      </w:r>
      <w:r>
        <w:t xml:space="preserve"> be jeopardized. Therefore, the broadcasted delay function may include information on when </w:t>
      </w:r>
      <w:r w:rsidR="00947569">
        <w:t>the UEs shall update their timers. Thus, the UE-network synchronization, in terms of a common understanding of the currently used UE timers, is maintained.</w:t>
      </w:r>
    </w:p>
    <w:p w14:paraId="7436232A" w14:textId="47EDD9D9" w:rsidR="00947569" w:rsidRPr="00714E6B" w:rsidRDefault="00947569" w:rsidP="00800BFE">
      <w:pPr>
        <w:pStyle w:val="ListParagraph"/>
        <w:numPr>
          <w:ilvl w:val="0"/>
          <w:numId w:val="22"/>
        </w:numPr>
        <w:rPr>
          <w:b/>
          <w:bCs/>
          <w:sz w:val="20"/>
          <w:szCs w:val="20"/>
        </w:rPr>
      </w:pPr>
      <w:r w:rsidRPr="00714E6B">
        <w:rPr>
          <w:b/>
          <w:bCs/>
          <w:sz w:val="20"/>
          <w:szCs w:val="20"/>
        </w:rPr>
        <w:t xml:space="preserve">The broadcasted delay </w:t>
      </w:r>
      <w:r w:rsidR="00E157E1">
        <w:rPr>
          <w:b/>
          <w:bCs/>
          <w:sz w:val="20"/>
          <w:szCs w:val="20"/>
        </w:rPr>
        <w:t xml:space="preserve">function </w:t>
      </w:r>
      <w:r w:rsidRPr="00714E6B">
        <w:rPr>
          <w:b/>
          <w:bCs/>
          <w:sz w:val="20"/>
          <w:szCs w:val="20"/>
        </w:rPr>
        <w:t>may also include information on specific time instances where the UEs shall update the timers.</w:t>
      </w:r>
    </w:p>
    <w:p w14:paraId="5B3B531E" w14:textId="2BA2F37A" w:rsidR="00947569" w:rsidRDefault="00B67B6F" w:rsidP="00907B47">
      <w:r>
        <w:t>Based on the above description, t</w:t>
      </w:r>
      <w:r w:rsidR="00947569" w:rsidRPr="00947569">
        <w:t>he so</w:t>
      </w:r>
      <w:r w:rsidR="00947569">
        <w:t xml:space="preserve">lution to handle the long and varying delays of NTN by use of a cell common reference point </w:t>
      </w:r>
      <w:r>
        <w:t>and well-defined time instances for updating the UE timers based on the common reference delay, is proposed to RAN2 for discussion.</w:t>
      </w:r>
    </w:p>
    <w:p w14:paraId="2D318619" w14:textId="014461C9" w:rsidR="00A209D6" w:rsidRPr="00714E6B" w:rsidRDefault="00B67B6F" w:rsidP="003613F7">
      <w:pPr>
        <w:pStyle w:val="ListParagraph"/>
        <w:numPr>
          <w:ilvl w:val="0"/>
          <w:numId w:val="27"/>
        </w:numPr>
        <w:rPr>
          <w:sz w:val="20"/>
          <w:szCs w:val="20"/>
        </w:rPr>
      </w:pPr>
      <w:r w:rsidRPr="00714E6B">
        <w:rPr>
          <w:b/>
          <w:bCs/>
          <w:sz w:val="20"/>
          <w:szCs w:val="20"/>
        </w:rPr>
        <w:t>RAN2 to discuss the use of a cell common reference point delay for updating UE timers.</w:t>
      </w:r>
    </w:p>
    <w:p w14:paraId="5FF2457F" w14:textId="44B701BC" w:rsidR="00A209D6" w:rsidRPr="006E13D1" w:rsidRDefault="00907B47" w:rsidP="00A209D6">
      <w:pPr>
        <w:pStyle w:val="Heading1"/>
      </w:pPr>
      <w:r>
        <w:t>7</w:t>
      </w:r>
      <w:r w:rsidR="00A209D6" w:rsidRPr="006E13D1">
        <w:tab/>
      </w:r>
      <w:r w:rsidR="008C3057">
        <w:t>Conclusion</w:t>
      </w:r>
    </w:p>
    <w:p w14:paraId="436F9640" w14:textId="77777777" w:rsidR="006E2C65" w:rsidRDefault="006E2C65" w:rsidP="006E2C65">
      <w:pPr>
        <w:pStyle w:val="BodyText"/>
        <w:rPr>
          <w:b/>
          <w:bCs/>
        </w:rPr>
      </w:pPr>
      <w:r>
        <w:t>In the previous sections</w:t>
      </w:r>
      <w:r w:rsidRPr="00CE0424">
        <w:t xml:space="preserve"> we </w:t>
      </w:r>
      <w:r>
        <w:t>made the following observations</w:t>
      </w:r>
      <w:r w:rsidRPr="00CE0424">
        <w:t>:</w:t>
      </w:r>
      <w:r>
        <w:rPr>
          <w:b/>
          <w:bCs/>
        </w:rPr>
        <w:t xml:space="preserve"> </w:t>
      </w:r>
    </w:p>
    <w:p w14:paraId="4851F606" w14:textId="77777777" w:rsidR="00714E6B" w:rsidRPr="00714E6B" w:rsidRDefault="00714E6B" w:rsidP="00714E6B">
      <w:pPr>
        <w:pStyle w:val="ListParagraph"/>
        <w:numPr>
          <w:ilvl w:val="0"/>
          <w:numId w:val="29"/>
        </w:numPr>
        <w:rPr>
          <w:b/>
          <w:bCs/>
          <w:sz w:val="20"/>
          <w:szCs w:val="20"/>
        </w:rPr>
      </w:pPr>
      <w:r w:rsidRPr="00714E6B">
        <w:rPr>
          <w:b/>
          <w:bCs/>
          <w:sz w:val="20"/>
          <w:szCs w:val="20"/>
        </w:rPr>
        <w:t>Using maximum delay (sum of service and feeder links) for timers impacts user experience and system efficiency negatively.</w:t>
      </w:r>
    </w:p>
    <w:p w14:paraId="0B5822D1" w14:textId="6BE2138B" w:rsidR="00714E6B" w:rsidRPr="00714E6B" w:rsidRDefault="00714E6B" w:rsidP="00714E6B">
      <w:pPr>
        <w:pStyle w:val="ListParagraph"/>
        <w:numPr>
          <w:ilvl w:val="0"/>
          <w:numId w:val="29"/>
        </w:numPr>
        <w:rPr>
          <w:b/>
          <w:bCs/>
          <w:sz w:val="20"/>
          <w:szCs w:val="20"/>
        </w:rPr>
      </w:pPr>
      <w:r w:rsidRPr="00714E6B">
        <w:rPr>
          <w:b/>
          <w:bCs/>
          <w:sz w:val="20"/>
          <w:szCs w:val="20"/>
        </w:rPr>
        <w:t>Using variable delay values per timer increases control overhead due to per-value, per-UE signaling.</w:t>
      </w:r>
    </w:p>
    <w:p w14:paraId="4F3C6F36" w14:textId="77777777" w:rsidR="00714E6B" w:rsidRPr="00714E6B" w:rsidRDefault="00714E6B" w:rsidP="00714E6B">
      <w:pPr>
        <w:pStyle w:val="ListParagraph"/>
        <w:numPr>
          <w:ilvl w:val="0"/>
          <w:numId w:val="29"/>
        </w:numPr>
        <w:rPr>
          <w:b/>
          <w:bCs/>
          <w:sz w:val="20"/>
          <w:szCs w:val="20"/>
        </w:rPr>
      </w:pPr>
      <w:r w:rsidRPr="00714E6B">
        <w:rPr>
          <w:b/>
          <w:bCs/>
          <w:sz w:val="20"/>
          <w:szCs w:val="20"/>
        </w:rPr>
        <w:t>The delay between a gNB and a UE depends on among others satellite ephemeris, ground station location, satellite processing times, and UE location.</w:t>
      </w:r>
    </w:p>
    <w:p w14:paraId="5C8348CD" w14:textId="77777777" w:rsidR="00714E6B" w:rsidRPr="00714E6B" w:rsidRDefault="00714E6B" w:rsidP="00714E6B">
      <w:pPr>
        <w:pStyle w:val="ListParagraph"/>
        <w:numPr>
          <w:ilvl w:val="0"/>
          <w:numId w:val="29"/>
        </w:numPr>
        <w:rPr>
          <w:b/>
          <w:bCs/>
          <w:sz w:val="20"/>
          <w:szCs w:val="20"/>
        </w:rPr>
      </w:pPr>
      <w:r w:rsidRPr="00714E6B">
        <w:rPr>
          <w:b/>
          <w:bCs/>
          <w:sz w:val="20"/>
          <w:szCs w:val="20"/>
        </w:rPr>
        <w:t>The delay between a gNB and a cell common reference point can be broadcasted and applied by UEs to update timers.</w:t>
      </w:r>
    </w:p>
    <w:p w14:paraId="338CC6AD" w14:textId="287CE916" w:rsidR="00714E6B" w:rsidRPr="00714E6B" w:rsidRDefault="00714E6B" w:rsidP="00714E6B">
      <w:pPr>
        <w:pStyle w:val="ListParagraph"/>
        <w:numPr>
          <w:ilvl w:val="0"/>
          <w:numId w:val="29"/>
        </w:numPr>
        <w:rPr>
          <w:b/>
          <w:bCs/>
          <w:sz w:val="20"/>
          <w:szCs w:val="20"/>
        </w:rPr>
      </w:pPr>
      <w:r w:rsidRPr="00714E6B">
        <w:rPr>
          <w:b/>
          <w:bCs/>
          <w:sz w:val="20"/>
          <w:szCs w:val="20"/>
        </w:rPr>
        <w:t xml:space="preserve">The broadcasted delay </w:t>
      </w:r>
      <w:r w:rsidR="00032A7E">
        <w:rPr>
          <w:b/>
          <w:bCs/>
          <w:sz w:val="20"/>
          <w:szCs w:val="20"/>
        </w:rPr>
        <w:t>fu</w:t>
      </w:r>
      <w:bookmarkStart w:id="1" w:name="_GoBack"/>
      <w:bookmarkEnd w:id="1"/>
      <w:r w:rsidR="00032A7E">
        <w:rPr>
          <w:b/>
          <w:bCs/>
          <w:sz w:val="20"/>
          <w:szCs w:val="20"/>
        </w:rPr>
        <w:t xml:space="preserve">nction </w:t>
      </w:r>
      <w:r w:rsidRPr="00714E6B">
        <w:rPr>
          <w:b/>
          <w:bCs/>
          <w:sz w:val="20"/>
          <w:szCs w:val="20"/>
        </w:rPr>
        <w:t>may also include information on specific time instances where the UEs shall update the timers.</w:t>
      </w:r>
    </w:p>
    <w:p w14:paraId="055930A4" w14:textId="0A68CD80" w:rsidR="00410E84" w:rsidRDefault="00410E84" w:rsidP="00410E84">
      <w:pPr>
        <w:pStyle w:val="BodyText"/>
      </w:pPr>
      <w:r w:rsidRPr="00CE0424">
        <w:t xml:space="preserve">Based on the discussion in </w:t>
      </w:r>
      <w:r>
        <w:t xml:space="preserve">the previous </w:t>
      </w:r>
      <w:r w:rsidRPr="00CE0424">
        <w:t>section</w:t>
      </w:r>
      <w:r>
        <w:t>s</w:t>
      </w:r>
      <w:r w:rsidRPr="00CE0424">
        <w:t xml:space="preserve"> we propose the following:</w:t>
      </w:r>
    </w:p>
    <w:p w14:paraId="69BE6DD7" w14:textId="77777777" w:rsidR="00714E6B" w:rsidRPr="00714E6B" w:rsidRDefault="00714E6B" w:rsidP="00714E6B">
      <w:pPr>
        <w:pStyle w:val="ListParagraph"/>
        <w:numPr>
          <w:ilvl w:val="0"/>
          <w:numId w:val="28"/>
        </w:numPr>
        <w:rPr>
          <w:sz w:val="20"/>
          <w:szCs w:val="20"/>
        </w:rPr>
      </w:pPr>
      <w:r w:rsidRPr="00714E6B">
        <w:rPr>
          <w:b/>
          <w:bCs/>
          <w:sz w:val="20"/>
          <w:szCs w:val="20"/>
        </w:rPr>
        <w:t>RAN2 to discuss the use of a cell common reference point delay for updating UE timers.</w:t>
      </w:r>
    </w:p>
    <w:p w14:paraId="35F222F4" w14:textId="77777777" w:rsidR="00080512" w:rsidRPr="00A209D6" w:rsidRDefault="00080512" w:rsidP="00A209D6"/>
    <w:p w14:paraId="4E1629E3" w14:textId="774626EB" w:rsidR="00391C50" w:rsidRDefault="00391C50">
      <w:pPr>
        <w:pStyle w:val="Heading1"/>
      </w:pPr>
      <w:r>
        <w:t>References</w:t>
      </w:r>
    </w:p>
    <w:p w14:paraId="1488522C" w14:textId="77777777" w:rsidR="0020622F" w:rsidRDefault="00706621" w:rsidP="005F46F9">
      <w:pPr>
        <w:pStyle w:val="ListParagraph"/>
        <w:numPr>
          <w:ilvl w:val="0"/>
          <w:numId w:val="10"/>
        </w:numPr>
        <w:rPr>
          <w:iCs/>
        </w:rPr>
      </w:pPr>
      <w:bookmarkStart w:id="2" w:name="_Ref45103500"/>
      <w:r>
        <w:rPr>
          <w:lang w:eastAsia="zh-CN"/>
        </w:rPr>
        <w:t>3</w:t>
      </w:r>
      <w:r>
        <w:t>G</w:t>
      </w:r>
      <w:r w:rsidRPr="007D73DA">
        <w:rPr>
          <w:lang w:eastAsia="zh-CN"/>
        </w:rPr>
        <w:t xml:space="preserve">PP </w:t>
      </w:r>
      <w:hyperlink r:id="rId14" w:history="1">
        <w:r w:rsidRPr="00706621">
          <w:rPr>
            <w:rStyle w:val="Hyperlink"/>
            <w:lang w:eastAsia="zh-CN"/>
          </w:rPr>
          <w:t>TR 38.821</w:t>
        </w:r>
      </w:hyperlink>
      <w:r w:rsidRPr="007D73DA">
        <w:rPr>
          <w:lang w:eastAsia="zh-CN"/>
        </w:rPr>
        <w:t xml:space="preserve"> V</w:t>
      </w:r>
      <w:r>
        <w:rPr>
          <w:lang w:eastAsia="zh-CN"/>
        </w:rPr>
        <w:t>16</w:t>
      </w:r>
      <w:r w:rsidRPr="007D73DA">
        <w:rPr>
          <w:lang w:eastAsia="zh-CN"/>
        </w:rPr>
        <w:t>.</w:t>
      </w:r>
      <w:r>
        <w:rPr>
          <w:lang w:eastAsia="zh-CN"/>
        </w:rPr>
        <w:t>0</w:t>
      </w:r>
      <w:r w:rsidRPr="007D73DA">
        <w:rPr>
          <w:lang w:eastAsia="zh-CN"/>
        </w:rPr>
        <w:t>.0</w:t>
      </w:r>
      <w:r>
        <w:rPr>
          <w:lang w:eastAsia="zh-CN"/>
        </w:rPr>
        <w:t>,</w:t>
      </w:r>
      <w:r w:rsidRPr="007D73DA">
        <w:rPr>
          <w:lang w:eastAsia="zh-CN"/>
        </w:rPr>
        <w:t xml:space="preserve"> </w:t>
      </w:r>
      <w:r w:rsidRPr="00907B47">
        <w:rPr>
          <w:i/>
          <w:lang w:eastAsia="zh-CN"/>
        </w:rPr>
        <w:t>Solutions for NR to support non-terrestrial networks (NTN)</w:t>
      </w:r>
      <w:r w:rsidR="00011783" w:rsidRPr="00907B47">
        <w:rPr>
          <w:i/>
          <w:lang w:eastAsia="zh-CN"/>
        </w:rPr>
        <w:t xml:space="preserve">, </w:t>
      </w:r>
      <w:r w:rsidR="00011783" w:rsidRPr="00907B47">
        <w:rPr>
          <w:iCs/>
          <w:lang w:eastAsia="zh-CN"/>
        </w:rPr>
        <w:t>December 2019.</w:t>
      </w:r>
      <w:bookmarkEnd w:id="2"/>
    </w:p>
    <w:p w14:paraId="5054746C" w14:textId="5AC8ED4F" w:rsidR="00706621" w:rsidRPr="0020622F" w:rsidRDefault="00706621" w:rsidP="005F46F9">
      <w:pPr>
        <w:pStyle w:val="ListParagraph"/>
        <w:numPr>
          <w:ilvl w:val="0"/>
          <w:numId w:val="10"/>
        </w:numPr>
        <w:rPr>
          <w:iCs/>
        </w:rPr>
      </w:pPr>
      <w:bookmarkStart w:id="3" w:name="_Ref47355010"/>
      <w:r w:rsidRPr="0020622F">
        <w:rPr>
          <w:iCs/>
          <w:lang w:eastAsia="zh-CN"/>
        </w:rPr>
        <w:t xml:space="preserve">3GPP </w:t>
      </w:r>
      <w:proofErr w:type="spellStart"/>
      <w:r w:rsidRPr="0020622F">
        <w:rPr>
          <w:iCs/>
          <w:lang w:eastAsia="zh-CN"/>
        </w:rPr>
        <w:t>NR_NTN_solutions</w:t>
      </w:r>
      <w:proofErr w:type="spellEnd"/>
      <w:r w:rsidRPr="0020622F">
        <w:rPr>
          <w:iCs/>
          <w:lang w:eastAsia="zh-CN"/>
        </w:rPr>
        <w:t xml:space="preserve"> WI description, </w:t>
      </w:r>
      <w:hyperlink r:id="rId15" w:history="1">
        <w:r w:rsidR="005E694F" w:rsidRPr="005E694F">
          <w:rPr>
            <w:rStyle w:val="Hyperlink"/>
            <w:lang w:eastAsia="ja-JP"/>
          </w:rPr>
          <w:t>RP-201256</w:t>
        </w:r>
      </w:hyperlink>
      <w:r w:rsidR="005E694F">
        <w:rPr>
          <w:lang w:eastAsia="ja-JP"/>
        </w:rPr>
        <w:t xml:space="preserve">, </w:t>
      </w:r>
      <w:r w:rsidRPr="0020622F">
        <w:rPr>
          <w:i/>
          <w:lang w:eastAsia="zh-CN"/>
        </w:rPr>
        <w:t>Solutions for NR to support non-terrestrial networks (NTN)</w:t>
      </w:r>
      <w:r w:rsidR="00011783" w:rsidRPr="0020622F">
        <w:rPr>
          <w:i/>
          <w:lang w:eastAsia="zh-CN"/>
        </w:rPr>
        <w:t>,</w:t>
      </w:r>
      <w:r w:rsidR="00011783" w:rsidRPr="0020622F">
        <w:rPr>
          <w:iCs/>
          <w:lang w:eastAsia="zh-CN"/>
        </w:rPr>
        <w:t xml:space="preserve"> July 2020.</w:t>
      </w:r>
      <w:bookmarkEnd w:id="3"/>
    </w:p>
    <w:p w14:paraId="68742DEB" w14:textId="1B882994" w:rsidR="005F46F9" w:rsidRPr="005F46F9" w:rsidRDefault="006E5505" w:rsidP="00D9197C">
      <w:pPr>
        <w:pStyle w:val="ListParagraph"/>
        <w:numPr>
          <w:ilvl w:val="0"/>
          <w:numId w:val="10"/>
        </w:numPr>
      </w:pPr>
      <w:hyperlink r:id="rId16" w:history="1">
        <w:r w:rsidR="005F46F9" w:rsidRPr="00907B47">
          <w:rPr>
            <w:rStyle w:val="Hyperlink"/>
          </w:rPr>
          <w:t>R2-1907069</w:t>
        </w:r>
      </w:hyperlink>
      <w:r w:rsidR="005F46F9" w:rsidRPr="005F46F9">
        <w:t>,</w:t>
      </w:r>
      <w:r w:rsidR="005F46F9">
        <w:t xml:space="preserve"> </w:t>
      </w:r>
      <w:r w:rsidR="005F46F9" w:rsidRPr="00907B47">
        <w:rPr>
          <w:i/>
          <w:iCs/>
        </w:rPr>
        <w:t>Impacts of long RTTs to Random Access Response</w:t>
      </w:r>
      <w:r w:rsidR="005F46F9">
        <w:t xml:space="preserve">, </w:t>
      </w:r>
      <w:r w:rsidR="005F46F9" w:rsidRPr="005F46F9">
        <w:t>3GPP TSG-RAN WG2 Meeting #106</w:t>
      </w:r>
      <w:r w:rsidR="005F46F9">
        <w:t xml:space="preserve">, </w:t>
      </w:r>
      <w:r w:rsidR="005F46F9" w:rsidRPr="005F46F9">
        <w:t>Reno, USA, 13 – 17 May 2019</w:t>
      </w:r>
    </w:p>
    <w:sectPr w:rsidR="005F46F9" w:rsidRPr="005F46F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EDECE75" w16cex:dateUtc="2020-07-27T08:34:00Z"/>
  <w16cex:commentExtensible w16cex:durableId="74FAF525" w16cex:dateUtc="2020-07-29T10:15:00Z"/>
  <w16cex:commentExtensible w16cex:durableId="79BA253B" w16cex:dateUtc="2020-07-29T10:09:00Z"/>
  <w16cex:commentExtensible w16cex:durableId="3FD05A43" w16cex:dateUtc="2020-07-27T08: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04FF" w14:textId="77777777" w:rsidR="006E5505" w:rsidRDefault="006E5505">
      <w:r>
        <w:separator/>
      </w:r>
    </w:p>
  </w:endnote>
  <w:endnote w:type="continuationSeparator" w:id="0">
    <w:p w14:paraId="18C0558D" w14:textId="77777777" w:rsidR="006E5505" w:rsidRDefault="006E5505">
      <w:r>
        <w:continuationSeparator/>
      </w:r>
    </w:p>
  </w:endnote>
  <w:endnote w:type="continuationNotice" w:id="1">
    <w:p w14:paraId="589E584E" w14:textId="77777777" w:rsidR="006E5505" w:rsidRDefault="006E5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E259A" w:rsidRDefault="00FE2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E259A" w:rsidRDefault="00FE2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E259A" w:rsidRDefault="00FE2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298FD" w14:textId="77777777" w:rsidR="006E5505" w:rsidRDefault="006E5505">
      <w:r>
        <w:separator/>
      </w:r>
    </w:p>
  </w:footnote>
  <w:footnote w:type="continuationSeparator" w:id="0">
    <w:p w14:paraId="0E7B5CDB" w14:textId="77777777" w:rsidR="006E5505" w:rsidRDefault="006E5505">
      <w:r>
        <w:continuationSeparator/>
      </w:r>
    </w:p>
  </w:footnote>
  <w:footnote w:type="continuationNotice" w:id="1">
    <w:p w14:paraId="55727188" w14:textId="77777777" w:rsidR="006E5505" w:rsidRDefault="006E5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E259A" w:rsidRDefault="00FE25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E259A" w:rsidRDefault="00FE2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E259A" w:rsidRDefault="00FE2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D699B"/>
    <w:multiLevelType w:val="hybridMultilevel"/>
    <w:tmpl w:val="E5488C04"/>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8560693"/>
    <w:multiLevelType w:val="hybridMultilevel"/>
    <w:tmpl w:val="E7F64C44"/>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95630"/>
    <w:multiLevelType w:val="hybridMultilevel"/>
    <w:tmpl w:val="52AC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B26B1"/>
    <w:multiLevelType w:val="hybridMultilevel"/>
    <w:tmpl w:val="397CBED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5627FA"/>
    <w:multiLevelType w:val="hybridMultilevel"/>
    <w:tmpl w:val="540EFEDE"/>
    <w:lvl w:ilvl="0" w:tplc="5CC216D8">
      <w:start w:val="1"/>
      <w:numFmt w:val="decimal"/>
      <w:lvlText w:val="Proposal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6950166"/>
    <w:multiLevelType w:val="hybridMultilevel"/>
    <w:tmpl w:val="AAE6D4FA"/>
    <w:lvl w:ilvl="0" w:tplc="0380A9D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1B9D0C89"/>
    <w:multiLevelType w:val="hybridMultilevel"/>
    <w:tmpl w:val="0C3CBCBC"/>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54E2B"/>
    <w:multiLevelType w:val="hybridMultilevel"/>
    <w:tmpl w:val="33860A70"/>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527FA"/>
    <w:multiLevelType w:val="hybridMultilevel"/>
    <w:tmpl w:val="5EB6EA9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C211957"/>
    <w:multiLevelType w:val="hybridMultilevel"/>
    <w:tmpl w:val="CB8087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86E0C"/>
    <w:multiLevelType w:val="hybridMultilevel"/>
    <w:tmpl w:val="BD341462"/>
    <w:lvl w:ilvl="0" w:tplc="6AB071EE">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9A0CD9"/>
    <w:multiLevelType w:val="hybridMultilevel"/>
    <w:tmpl w:val="0C3CBCBC"/>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2425A"/>
    <w:multiLevelType w:val="hybridMultilevel"/>
    <w:tmpl w:val="72BE64E8"/>
    <w:lvl w:ilvl="0" w:tplc="812286DC">
      <w:start w:val="1"/>
      <w:numFmt w:val="bullet"/>
      <w:lvlText w:val="•"/>
      <w:lvlJc w:val="left"/>
      <w:pPr>
        <w:tabs>
          <w:tab w:val="num" w:pos="720"/>
        </w:tabs>
        <w:ind w:left="720" w:hanging="360"/>
      </w:pPr>
      <w:rPr>
        <w:rFonts w:ascii="Arial" w:hAnsi="Arial" w:hint="default"/>
      </w:rPr>
    </w:lvl>
    <w:lvl w:ilvl="1" w:tplc="4E6849BC" w:tentative="1">
      <w:start w:val="1"/>
      <w:numFmt w:val="bullet"/>
      <w:lvlText w:val="•"/>
      <w:lvlJc w:val="left"/>
      <w:pPr>
        <w:tabs>
          <w:tab w:val="num" w:pos="1440"/>
        </w:tabs>
        <w:ind w:left="1440" w:hanging="360"/>
      </w:pPr>
      <w:rPr>
        <w:rFonts w:ascii="Arial" w:hAnsi="Arial" w:hint="default"/>
      </w:rPr>
    </w:lvl>
    <w:lvl w:ilvl="2" w:tplc="4112B8EC" w:tentative="1">
      <w:start w:val="1"/>
      <w:numFmt w:val="bullet"/>
      <w:lvlText w:val="•"/>
      <w:lvlJc w:val="left"/>
      <w:pPr>
        <w:tabs>
          <w:tab w:val="num" w:pos="2160"/>
        </w:tabs>
        <w:ind w:left="2160" w:hanging="360"/>
      </w:pPr>
      <w:rPr>
        <w:rFonts w:ascii="Arial" w:hAnsi="Arial" w:hint="default"/>
      </w:rPr>
    </w:lvl>
    <w:lvl w:ilvl="3" w:tplc="B764288C" w:tentative="1">
      <w:start w:val="1"/>
      <w:numFmt w:val="bullet"/>
      <w:lvlText w:val="•"/>
      <w:lvlJc w:val="left"/>
      <w:pPr>
        <w:tabs>
          <w:tab w:val="num" w:pos="2880"/>
        </w:tabs>
        <w:ind w:left="2880" w:hanging="360"/>
      </w:pPr>
      <w:rPr>
        <w:rFonts w:ascii="Arial" w:hAnsi="Arial" w:hint="default"/>
      </w:rPr>
    </w:lvl>
    <w:lvl w:ilvl="4" w:tplc="051A2B0E" w:tentative="1">
      <w:start w:val="1"/>
      <w:numFmt w:val="bullet"/>
      <w:lvlText w:val="•"/>
      <w:lvlJc w:val="left"/>
      <w:pPr>
        <w:tabs>
          <w:tab w:val="num" w:pos="3600"/>
        </w:tabs>
        <w:ind w:left="3600" w:hanging="360"/>
      </w:pPr>
      <w:rPr>
        <w:rFonts w:ascii="Arial" w:hAnsi="Arial" w:hint="default"/>
      </w:rPr>
    </w:lvl>
    <w:lvl w:ilvl="5" w:tplc="208AA432" w:tentative="1">
      <w:start w:val="1"/>
      <w:numFmt w:val="bullet"/>
      <w:lvlText w:val="•"/>
      <w:lvlJc w:val="left"/>
      <w:pPr>
        <w:tabs>
          <w:tab w:val="num" w:pos="4320"/>
        </w:tabs>
        <w:ind w:left="4320" w:hanging="360"/>
      </w:pPr>
      <w:rPr>
        <w:rFonts w:ascii="Arial" w:hAnsi="Arial" w:hint="default"/>
      </w:rPr>
    </w:lvl>
    <w:lvl w:ilvl="6" w:tplc="7D7EE9DC" w:tentative="1">
      <w:start w:val="1"/>
      <w:numFmt w:val="bullet"/>
      <w:lvlText w:val="•"/>
      <w:lvlJc w:val="left"/>
      <w:pPr>
        <w:tabs>
          <w:tab w:val="num" w:pos="5040"/>
        </w:tabs>
        <w:ind w:left="5040" w:hanging="360"/>
      </w:pPr>
      <w:rPr>
        <w:rFonts w:ascii="Arial" w:hAnsi="Arial" w:hint="default"/>
      </w:rPr>
    </w:lvl>
    <w:lvl w:ilvl="7" w:tplc="5324ECCE" w:tentative="1">
      <w:start w:val="1"/>
      <w:numFmt w:val="bullet"/>
      <w:lvlText w:val="•"/>
      <w:lvlJc w:val="left"/>
      <w:pPr>
        <w:tabs>
          <w:tab w:val="num" w:pos="5760"/>
        </w:tabs>
        <w:ind w:left="5760" w:hanging="360"/>
      </w:pPr>
      <w:rPr>
        <w:rFonts w:ascii="Arial" w:hAnsi="Arial" w:hint="default"/>
      </w:rPr>
    </w:lvl>
    <w:lvl w:ilvl="8" w:tplc="3EC696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64073F"/>
    <w:multiLevelType w:val="hybridMultilevel"/>
    <w:tmpl w:val="7B96BA00"/>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A333B1"/>
    <w:multiLevelType w:val="hybridMultilevel"/>
    <w:tmpl w:val="BD341462"/>
    <w:lvl w:ilvl="0" w:tplc="6AB071EE">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3F6202"/>
    <w:multiLevelType w:val="hybridMultilevel"/>
    <w:tmpl w:val="91000F20"/>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96D6182"/>
    <w:multiLevelType w:val="hybridMultilevel"/>
    <w:tmpl w:val="FC5AA8FA"/>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8D3395"/>
    <w:multiLevelType w:val="multilevel"/>
    <w:tmpl w:val="33F0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8D4F1A"/>
    <w:multiLevelType w:val="hybridMultilevel"/>
    <w:tmpl w:val="04A47566"/>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FF65504"/>
    <w:multiLevelType w:val="hybridMultilevel"/>
    <w:tmpl w:val="7542CC50"/>
    <w:lvl w:ilvl="0" w:tplc="99EC606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20"/>
  </w:num>
  <w:num w:numId="7">
    <w:abstractNumId w:val="21"/>
  </w:num>
  <w:num w:numId="8">
    <w:abstractNumId w:val="22"/>
  </w:num>
  <w:num w:numId="9">
    <w:abstractNumId w:val="25"/>
  </w:num>
  <w:num w:numId="10">
    <w:abstractNumId w:val="8"/>
  </w:num>
  <w:num w:numId="11">
    <w:abstractNumId w:val="12"/>
  </w:num>
  <w:num w:numId="12">
    <w:abstractNumId w:val="4"/>
  </w:num>
  <w:num w:numId="13">
    <w:abstractNumId w:val="11"/>
  </w:num>
  <w:num w:numId="14">
    <w:abstractNumId w:val="5"/>
  </w:num>
  <w:num w:numId="15">
    <w:abstractNumId w:val="26"/>
  </w:num>
  <w:num w:numId="16">
    <w:abstractNumId w:val="23"/>
  </w:num>
  <w:num w:numId="17">
    <w:abstractNumId w:val="7"/>
  </w:num>
  <w:num w:numId="18">
    <w:abstractNumId w:val="2"/>
  </w:num>
  <w:num w:numId="19">
    <w:abstractNumId w:val="17"/>
  </w:num>
  <w:num w:numId="20">
    <w:abstractNumId w:val="6"/>
  </w:num>
  <w:num w:numId="21">
    <w:abstractNumId w:val="3"/>
  </w:num>
  <w:num w:numId="22">
    <w:abstractNumId w:val="9"/>
  </w:num>
  <w:num w:numId="23">
    <w:abstractNumId w:val="24"/>
  </w:num>
  <w:num w:numId="24">
    <w:abstractNumId w:val="27"/>
  </w:num>
  <w:num w:numId="25">
    <w:abstractNumId w:val="18"/>
  </w:num>
  <w:num w:numId="26">
    <w:abstractNumId w:val="10"/>
  </w:num>
  <w:num w:numId="27">
    <w:abstractNumId w:val="19"/>
  </w:num>
  <w:num w:numId="28">
    <w:abstractNumId w:val="15"/>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AF"/>
    <w:rsid w:val="00006E5B"/>
    <w:rsid w:val="00010D40"/>
    <w:rsid w:val="00011783"/>
    <w:rsid w:val="00016557"/>
    <w:rsid w:val="00023C40"/>
    <w:rsid w:val="000323A4"/>
    <w:rsid w:val="00032A7E"/>
    <w:rsid w:val="00033397"/>
    <w:rsid w:val="00040095"/>
    <w:rsid w:val="00040679"/>
    <w:rsid w:val="00044EBB"/>
    <w:rsid w:val="00045D54"/>
    <w:rsid w:val="00071817"/>
    <w:rsid w:val="00073C9C"/>
    <w:rsid w:val="00076151"/>
    <w:rsid w:val="00080512"/>
    <w:rsid w:val="00090468"/>
    <w:rsid w:val="0009323B"/>
    <w:rsid w:val="00094568"/>
    <w:rsid w:val="000B7BCF"/>
    <w:rsid w:val="000B7DC3"/>
    <w:rsid w:val="000C522B"/>
    <w:rsid w:val="000D58AB"/>
    <w:rsid w:val="000D67C7"/>
    <w:rsid w:val="000E3F77"/>
    <w:rsid w:val="000E50E4"/>
    <w:rsid w:val="000F49DC"/>
    <w:rsid w:val="000F668F"/>
    <w:rsid w:val="000F7A3C"/>
    <w:rsid w:val="00110959"/>
    <w:rsid w:val="00112F1A"/>
    <w:rsid w:val="001175CA"/>
    <w:rsid w:val="00126AF7"/>
    <w:rsid w:val="00135760"/>
    <w:rsid w:val="00145075"/>
    <w:rsid w:val="00153468"/>
    <w:rsid w:val="00163C6E"/>
    <w:rsid w:val="001741A0"/>
    <w:rsid w:val="00175FA0"/>
    <w:rsid w:val="00186308"/>
    <w:rsid w:val="00194CD0"/>
    <w:rsid w:val="00196BB5"/>
    <w:rsid w:val="001A1718"/>
    <w:rsid w:val="001A6042"/>
    <w:rsid w:val="001B3971"/>
    <w:rsid w:val="001B49C9"/>
    <w:rsid w:val="001B6E4D"/>
    <w:rsid w:val="001B705A"/>
    <w:rsid w:val="001C23F4"/>
    <w:rsid w:val="001C3DA0"/>
    <w:rsid w:val="001C4F79"/>
    <w:rsid w:val="001D15E8"/>
    <w:rsid w:val="001E75BE"/>
    <w:rsid w:val="001E78E4"/>
    <w:rsid w:val="001F1413"/>
    <w:rsid w:val="001F168B"/>
    <w:rsid w:val="001F7831"/>
    <w:rsid w:val="00204045"/>
    <w:rsid w:val="0020622F"/>
    <w:rsid w:val="00206AD2"/>
    <w:rsid w:val="0020712B"/>
    <w:rsid w:val="00211CC4"/>
    <w:rsid w:val="002245CA"/>
    <w:rsid w:val="00225EB4"/>
    <w:rsid w:val="0022606D"/>
    <w:rsid w:val="00226F4E"/>
    <w:rsid w:val="00231728"/>
    <w:rsid w:val="00245EA5"/>
    <w:rsid w:val="00246987"/>
    <w:rsid w:val="00250404"/>
    <w:rsid w:val="00253FD7"/>
    <w:rsid w:val="002541CF"/>
    <w:rsid w:val="002610D8"/>
    <w:rsid w:val="00266FBA"/>
    <w:rsid w:val="002747EC"/>
    <w:rsid w:val="00276D3F"/>
    <w:rsid w:val="002855BF"/>
    <w:rsid w:val="002A0832"/>
    <w:rsid w:val="002A18C1"/>
    <w:rsid w:val="002A23AD"/>
    <w:rsid w:val="002A3B41"/>
    <w:rsid w:val="002A76C3"/>
    <w:rsid w:val="002B12AA"/>
    <w:rsid w:val="002C133C"/>
    <w:rsid w:val="002C6598"/>
    <w:rsid w:val="002F0D22"/>
    <w:rsid w:val="002F6C3D"/>
    <w:rsid w:val="0030053E"/>
    <w:rsid w:val="00311B17"/>
    <w:rsid w:val="003172DC"/>
    <w:rsid w:val="00322571"/>
    <w:rsid w:val="00325AE3"/>
    <w:rsid w:val="00326069"/>
    <w:rsid w:val="003347E3"/>
    <w:rsid w:val="00336A33"/>
    <w:rsid w:val="0035462D"/>
    <w:rsid w:val="003613F7"/>
    <w:rsid w:val="0036459E"/>
    <w:rsid w:val="00364B30"/>
    <w:rsid w:val="00364B41"/>
    <w:rsid w:val="003651AC"/>
    <w:rsid w:val="00373926"/>
    <w:rsid w:val="00377450"/>
    <w:rsid w:val="00383096"/>
    <w:rsid w:val="00387776"/>
    <w:rsid w:val="00391C50"/>
    <w:rsid w:val="0039346C"/>
    <w:rsid w:val="00394C96"/>
    <w:rsid w:val="003A41EF"/>
    <w:rsid w:val="003A4D87"/>
    <w:rsid w:val="003A6925"/>
    <w:rsid w:val="003B40AD"/>
    <w:rsid w:val="003C0C17"/>
    <w:rsid w:val="003C4E37"/>
    <w:rsid w:val="003C5A71"/>
    <w:rsid w:val="003C6F7F"/>
    <w:rsid w:val="003D0BE2"/>
    <w:rsid w:val="003E16BE"/>
    <w:rsid w:val="003E5637"/>
    <w:rsid w:val="003E5F69"/>
    <w:rsid w:val="003E7790"/>
    <w:rsid w:val="003F0052"/>
    <w:rsid w:val="003F4E28"/>
    <w:rsid w:val="004006E8"/>
    <w:rsid w:val="00401855"/>
    <w:rsid w:val="00403C3E"/>
    <w:rsid w:val="0040491D"/>
    <w:rsid w:val="004062C1"/>
    <w:rsid w:val="00410E84"/>
    <w:rsid w:val="00411C92"/>
    <w:rsid w:val="00436FEB"/>
    <w:rsid w:val="004410E2"/>
    <w:rsid w:val="00442B80"/>
    <w:rsid w:val="004644CC"/>
    <w:rsid w:val="004648CA"/>
    <w:rsid w:val="00465587"/>
    <w:rsid w:val="00477455"/>
    <w:rsid w:val="00490C03"/>
    <w:rsid w:val="00496121"/>
    <w:rsid w:val="004A1F7B"/>
    <w:rsid w:val="004A39C9"/>
    <w:rsid w:val="004C44D2"/>
    <w:rsid w:val="004C7600"/>
    <w:rsid w:val="004D3578"/>
    <w:rsid w:val="004D380D"/>
    <w:rsid w:val="004D547A"/>
    <w:rsid w:val="004E213A"/>
    <w:rsid w:val="004F0206"/>
    <w:rsid w:val="005016FE"/>
    <w:rsid w:val="00503171"/>
    <w:rsid w:val="00506C28"/>
    <w:rsid w:val="00534DA0"/>
    <w:rsid w:val="0053731E"/>
    <w:rsid w:val="00543E6C"/>
    <w:rsid w:val="00544864"/>
    <w:rsid w:val="00561110"/>
    <w:rsid w:val="00565087"/>
    <w:rsid w:val="0056573F"/>
    <w:rsid w:val="00567FAB"/>
    <w:rsid w:val="00583F3B"/>
    <w:rsid w:val="005A1304"/>
    <w:rsid w:val="005A49C6"/>
    <w:rsid w:val="005A6806"/>
    <w:rsid w:val="005B4A5E"/>
    <w:rsid w:val="005C5117"/>
    <w:rsid w:val="005E694F"/>
    <w:rsid w:val="005F04F0"/>
    <w:rsid w:val="005F2334"/>
    <w:rsid w:val="005F46F9"/>
    <w:rsid w:val="00603D66"/>
    <w:rsid w:val="00611566"/>
    <w:rsid w:val="00615663"/>
    <w:rsid w:val="00635C53"/>
    <w:rsid w:val="00642B70"/>
    <w:rsid w:val="00645513"/>
    <w:rsid w:val="00646D99"/>
    <w:rsid w:val="00656910"/>
    <w:rsid w:val="006574C0"/>
    <w:rsid w:val="006709AE"/>
    <w:rsid w:val="006745EF"/>
    <w:rsid w:val="00680864"/>
    <w:rsid w:val="00681569"/>
    <w:rsid w:val="00684781"/>
    <w:rsid w:val="006874DA"/>
    <w:rsid w:val="00690B53"/>
    <w:rsid w:val="00691B70"/>
    <w:rsid w:val="006A7431"/>
    <w:rsid w:val="006B19A2"/>
    <w:rsid w:val="006B5A81"/>
    <w:rsid w:val="006C17DE"/>
    <w:rsid w:val="006C66D8"/>
    <w:rsid w:val="006D1E24"/>
    <w:rsid w:val="006D69DB"/>
    <w:rsid w:val="006E1417"/>
    <w:rsid w:val="006E2C65"/>
    <w:rsid w:val="006E5505"/>
    <w:rsid w:val="006F0089"/>
    <w:rsid w:val="006F6A2C"/>
    <w:rsid w:val="00706621"/>
    <w:rsid w:val="007069DC"/>
    <w:rsid w:val="00710201"/>
    <w:rsid w:val="00714E6B"/>
    <w:rsid w:val="0071731C"/>
    <w:rsid w:val="0072073A"/>
    <w:rsid w:val="007342B5"/>
    <w:rsid w:val="00734A5B"/>
    <w:rsid w:val="00736480"/>
    <w:rsid w:val="00737830"/>
    <w:rsid w:val="00737A2B"/>
    <w:rsid w:val="00744E76"/>
    <w:rsid w:val="00746B6A"/>
    <w:rsid w:val="00753075"/>
    <w:rsid w:val="00755A64"/>
    <w:rsid w:val="00757D40"/>
    <w:rsid w:val="007606FF"/>
    <w:rsid w:val="007661CB"/>
    <w:rsid w:val="007662B5"/>
    <w:rsid w:val="00776790"/>
    <w:rsid w:val="00781F0F"/>
    <w:rsid w:val="00786ABF"/>
    <w:rsid w:val="0078727C"/>
    <w:rsid w:val="0079049D"/>
    <w:rsid w:val="0079388E"/>
    <w:rsid w:val="00793DC5"/>
    <w:rsid w:val="00794D64"/>
    <w:rsid w:val="00795253"/>
    <w:rsid w:val="007A416B"/>
    <w:rsid w:val="007B18D8"/>
    <w:rsid w:val="007C095F"/>
    <w:rsid w:val="007C2637"/>
    <w:rsid w:val="007C2DD0"/>
    <w:rsid w:val="007D6EB4"/>
    <w:rsid w:val="007F1AC8"/>
    <w:rsid w:val="007F2E08"/>
    <w:rsid w:val="00800BFE"/>
    <w:rsid w:val="008028A4"/>
    <w:rsid w:val="008054E1"/>
    <w:rsid w:val="00813245"/>
    <w:rsid w:val="008132A6"/>
    <w:rsid w:val="00814C50"/>
    <w:rsid w:val="00823EB3"/>
    <w:rsid w:val="0082704F"/>
    <w:rsid w:val="00832B0A"/>
    <w:rsid w:val="008404DC"/>
    <w:rsid w:val="00840DE0"/>
    <w:rsid w:val="0084786B"/>
    <w:rsid w:val="00863418"/>
    <w:rsid w:val="0086354A"/>
    <w:rsid w:val="008646C5"/>
    <w:rsid w:val="00874E20"/>
    <w:rsid w:val="008768CA"/>
    <w:rsid w:val="00877EF9"/>
    <w:rsid w:val="00880559"/>
    <w:rsid w:val="00883E9C"/>
    <w:rsid w:val="008B3E43"/>
    <w:rsid w:val="008B5306"/>
    <w:rsid w:val="008B5EA3"/>
    <w:rsid w:val="008C2E2A"/>
    <w:rsid w:val="008C3057"/>
    <w:rsid w:val="008C4837"/>
    <w:rsid w:val="008C5D3C"/>
    <w:rsid w:val="008D2E4D"/>
    <w:rsid w:val="008D5E9B"/>
    <w:rsid w:val="008E45C4"/>
    <w:rsid w:val="008F0B45"/>
    <w:rsid w:val="008F396F"/>
    <w:rsid w:val="008F3DCD"/>
    <w:rsid w:val="0090169B"/>
    <w:rsid w:val="0090271F"/>
    <w:rsid w:val="00902DB9"/>
    <w:rsid w:val="0090466A"/>
    <w:rsid w:val="00907B47"/>
    <w:rsid w:val="0091553B"/>
    <w:rsid w:val="0092110C"/>
    <w:rsid w:val="00923655"/>
    <w:rsid w:val="00925C64"/>
    <w:rsid w:val="00927C43"/>
    <w:rsid w:val="0092F41C"/>
    <w:rsid w:val="00936071"/>
    <w:rsid w:val="009376CD"/>
    <w:rsid w:val="00940212"/>
    <w:rsid w:val="00942EC2"/>
    <w:rsid w:val="00945665"/>
    <w:rsid w:val="00947569"/>
    <w:rsid w:val="00953EFA"/>
    <w:rsid w:val="00954D73"/>
    <w:rsid w:val="00961B32"/>
    <w:rsid w:val="00962509"/>
    <w:rsid w:val="00963B20"/>
    <w:rsid w:val="00967BC7"/>
    <w:rsid w:val="00970DB3"/>
    <w:rsid w:val="00972690"/>
    <w:rsid w:val="00974BB0"/>
    <w:rsid w:val="00975BCD"/>
    <w:rsid w:val="0098392D"/>
    <w:rsid w:val="00987BF6"/>
    <w:rsid w:val="00987FD4"/>
    <w:rsid w:val="009928A9"/>
    <w:rsid w:val="009945B7"/>
    <w:rsid w:val="00996A94"/>
    <w:rsid w:val="009A0AF3"/>
    <w:rsid w:val="009A5902"/>
    <w:rsid w:val="009A6B31"/>
    <w:rsid w:val="009B07CD"/>
    <w:rsid w:val="009B36D3"/>
    <w:rsid w:val="009C19E9"/>
    <w:rsid w:val="009D4AFF"/>
    <w:rsid w:val="009D74A6"/>
    <w:rsid w:val="009E0E87"/>
    <w:rsid w:val="009F4B93"/>
    <w:rsid w:val="00A00D79"/>
    <w:rsid w:val="00A10F02"/>
    <w:rsid w:val="00A13965"/>
    <w:rsid w:val="00A204CA"/>
    <w:rsid w:val="00A209D6"/>
    <w:rsid w:val="00A34901"/>
    <w:rsid w:val="00A40E98"/>
    <w:rsid w:val="00A50D5B"/>
    <w:rsid w:val="00A53724"/>
    <w:rsid w:val="00A54B2B"/>
    <w:rsid w:val="00A55905"/>
    <w:rsid w:val="00A56788"/>
    <w:rsid w:val="00A56F3C"/>
    <w:rsid w:val="00A82346"/>
    <w:rsid w:val="00A9671C"/>
    <w:rsid w:val="00AA1553"/>
    <w:rsid w:val="00AA4774"/>
    <w:rsid w:val="00AB3050"/>
    <w:rsid w:val="00AC0C24"/>
    <w:rsid w:val="00AC2496"/>
    <w:rsid w:val="00AC72D3"/>
    <w:rsid w:val="00AD5A9B"/>
    <w:rsid w:val="00AD67A9"/>
    <w:rsid w:val="00B05380"/>
    <w:rsid w:val="00B05962"/>
    <w:rsid w:val="00B12FA1"/>
    <w:rsid w:val="00B15449"/>
    <w:rsid w:val="00B16C2F"/>
    <w:rsid w:val="00B20A1B"/>
    <w:rsid w:val="00B24EE5"/>
    <w:rsid w:val="00B27303"/>
    <w:rsid w:val="00B345B9"/>
    <w:rsid w:val="00B47FD1"/>
    <w:rsid w:val="00B516BB"/>
    <w:rsid w:val="00B52B50"/>
    <w:rsid w:val="00B62ED9"/>
    <w:rsid w:val="00B634FF"/>
    <w:rsid w:val="00B67B6F"/>
    <w:rsid w:val="00B84DB2"/>
    <w:rsid w:val="00B929EE"/>
    <w:rsid w:val="00B97D43"/>
    <w:rsid w:val="00BB1427"/>
    <w:rsid w:val="00BB3EFD"/>
    <w:rsid w:val="00BB5D69"/>
    <w:rsid w:val="00BC3555"/>
    <w:rsid w:val="00BD5225"/>
    <w:rsid w:val="00BE39A2"/>
    <w:rsid w:val="00BF4E9C"/>
    <w:rsid w:val="00BF5D0D"/>
    <w:rsid w:val="00C0400A"/>
    <w:rsid w:val="00C1232D"/>
    <w:rsid w:val="00C12B51"/>
    <w:rsid w:val="00C24650"/>
    <w:rsid w:val="00C25465"/>
    <w:rsid w:val="00C25825"/>
    <w:rsid w:val="00C30086"/>
    <w:rsid w:val="00C33079"/>
    <w:rsid w:val="00C533D6"/>
    <w:rsid w:val="00C6356F"/>
    <w:rsid w:val="00C6774F"/>
    <w:rsid w:val="00C8290F"/>
    <w:rsid w:val="00C83A13"/>
    <w:rsid w:val="00C87569"/>
    <w:rsid w:val="00C9068C"/>
    <w:rsid w:val="00C92967"/>
    <w:rsid w:val="00C97433"/>
    <w:rsid w:val="00CA03B9"/>
    <w:rsid w:val="00CA250E"/>
    <w:rsid w:val="00CA3D0C"/>
    <w:rsid w:val="00CA654B"/>
    <w:rsid w:val="00CA7811"/>
    <w:rsid w:val="00CB72B8"/>
    <w:rsid w:val="00CC5E76"/>
    <w:rsid w:val="00CD4C7B"/>
    <w:rsid w:val="00CD58FE"/>
    <w:rsid w:val="00CE4F5F"/>
    <w:rsid w:val="00CF03CB"/>
    <w:rsid w:val="00CF324E"/>
    <w:rsid w:val="00CF76EE"/>
    <w:rsid w:val="00D11DBC"/>
    <w:rsid w:val="00D121E4"/>
    <w:rsid w:val="00D32F6F"/>
    <w:rsid w:val="00D33B77"/>
    <w:rsid w:val="00D33BE3"/>
    <w:rsid w:val="00D36357"/>
    <w:rsid w:val="00D3792D"/>
    <w:rsid w:val="00D474E8"/>
    <w:rsid w:val="00D55E47"/>
    <w:rsid w:val="00D62BC2"/>
    <w:rsid w:val="00D62E19"/>
    <w:rsid w:val="00D64348"/>
    <w:rsid w:val="00D665D9"/>
    <w:rsid w:val="00D67CD1"/>
    <w:rsid w:val="00D738D6"/>
    <w:rsid w:val="00D80795"/>
    <w:rsid w:val="00D80D98"/>
    <w:rsid w:val="00D84CF7"/>
    <w:rsid w:val="00D854BE"/>
    <w:rsid w:val="00D868BB"/>
    <w:rsid w:val="00D87E00"/>
    <w:rsid w:val="00D9134D"/>
    <w:rsid w:val="00D9197C"/>
    <w:rsid w:val="00D92854"/>
    <w:rsid w:val="00D93AEE"/>
    <w:rsid w:val="00D96D11"/>
    <w:rsid w:val="00DA1652"/>
    <w:rsid w:val="00DA7A03"/>
    <w:rsid w:val="00DB0DB8"/>
    <w:rsid w:val="00DB1818"/>
    <w:rsid w:val="00DB2C45"/>
    <w:rsid w:val="00DC309B"/>
    <w:rsid w:val="00DC4DA2"/>
    <w:rsid w:val="00DC5261"/>
    <w:rsid w:val="00DD03E0"/>
    <w:rsid w:val="00DD1C32"/>
    <w:rsid w:val="00DD26DE"/>
    <w:rsid w:val="00DD2C74"/>
    <w:rsid w:val="00DE25D2"/>
    <w:rsid w:val="00DE78E5"/>
    <w:rsid w:val="00DF6B6F"/>
    <w:rsid w:val="00E00819"/>
    <w:rsid w:val="00E10791"/>
    <w:rsid w:val="00E157E1"/>
    <w:rsid w:val="00E25CDC"/>
    <w:rsid w:val="00E359DF"/>
    <w:rsid w:val="00E427FB"/>
    <w:rsid w:val="00E43B8B"/>
    <w:rsid w:val="00E44227"/>
    <w:rsid w:val="00E45AA4"/>
    <w:rsid w:val="00E46C08"/>
    <w:rsid w:val="00E471CF"/>
    <w:rsid w:val="00E50325"/>
    <w:rsid w:val="00E613BD"/>
    <w:rsid w:val="00E62835"/>
    <w:rsid w:val="00E6763C"/>
    <w:rsid w:val="00E7386B"/>
    <w:rsid w:val="00E75B6A"/>
    <w:rsid w:val="00E77645"/>
    <w:rsid w:val="00E83697"/>
    <w:rsid w:val="00E8465C"/>
    <w:rsid w:val="00E94E26"/>
    <w:rsid w:val="00E96E2D"/>
    <w:rsid w:val="00EA34AE"/>
    <w:rsid w:val="00EA5D2D"/>
    <w:rsid w:val="00EA66C9"/>
    <w:rsid w:val="00EB3BC8"/>
    <w:rsid w:val="00EB3FDA"/>
    <w:rsid w:val="00EB6C76"/>
    <w:rsid w:val="00EB7688"/>
    <w:rsid w:val="00EC0FFD"/>
    <w:rsid w:val="00EC4A25"/>
    <w:rsid w:val="00ED263A"/>
    <w:rsid w:val="00ED713F"/>
    <w:rsid w:val="00EE2DA6"/>
    <w:rsid w:val="00EF615A"/>
    <w:rsid w:val="00F025A2"/>
    <w:rsid w:val="00F036E9"/>
    <w:rsid w:val="00F03FAA"/>
    <w:rsid w:val="00F07388"/>
    <w:rsid w:val="00F0758C"/>
    <w:rsid w:val="00F07F7A"/>
    <w:rsid w:val="00F2026E"/>
    <w:rsid w:val="00F2210A"/>
    <w:rsid w:val="00F37743"/>
    <w:rsid w:val="00F40A3C"/>
    <w:rsid w:val="00F42FB1"/>
    <w:rsid w:val="00F43F8C"/>
    <w:rsid w:val="00F52EB6"/>
    <w:rsid w:val="00F54A3D"/>
    <w:rsid w:val="00F54CB0"/>
    <w:rsid w:val="00F579CD"/>
    <w:rsid w:val="00F65059"/>
    <w:rsid w:val="00F653B8"/>
    <w:rsid w:val="00F71804"/>
    <w:rsid w:val="00F71B89"/>
    <w:rsid w:val="00F72B89"/>
    <w:rsid w:val="00F7353C"/>
    <w:rsid w:val="00F76F8F"/>
    <w:rsid w:val="00F8554E"/>
    <w:rsid w:val="00F878D8"/>
    <w:rsid w:val="00F900A1"/>
    <w:rsid w:val="00F91DBE"/>
    <w:rsid w:val="00F93C7A"/>
    <w:rsid w:val="00F941A1"/>
    <w:rsid w:val="00F941DF"/>
    <w:rsid w:val="00FA1266"/>
    <w:rsid w:val="00FA428B"/>
    <w:rsid w:val="00FA74E6"/>
    <w:rsid w:val="00FB36FA"/>
    <w:rsid w:val="00FB41AF"/>
    <w:rsid w:val="00FB6312"/>
    <w:rsid w:val="00FC0468"/>
    <w:rsid w:val="00FC1192"/>
    <w:rsid w:val="00FC3820"/>
    <w:rsid w:val="00FC4E8F"/>
    <w:rsid w:val="00FD074C"/>
    <w:rsid w:val="00FD3050"/>
    <w:rsid w:val="00FE251B"/>
    <w:rsid w:val="00FE259A"/>
    <w:rsid w:val="12D906D1"/>
    <w:rsid w:val="1C4F2400"/>
    <w:rsid w:val="2587E572"/>
    <w:rsid w:val="27B08FBC"/>
    <w:rsid w:val="2DA35DB8"/>
    <w:rsid w:val="313E681A"/>
    <w:rsid w:val="313EBDF3"/>
    <w:rsid w:val="325DDCD2"/>
    <w:rsid w:val="3711E2B3"/>
    <w:rsid w:val="37846802"/>
    <w:rsid w:val="42BD5EA0"/>
    <w:rsid w:val="42D3F73A"/>
    <w:rsid w:val="5AE8BEAD"/>
    <w:rsid w:val="62FF679C"/>
    <w:rsid w:val="6AB7D1FB"/>
    <w:rsid w:val="72B2792E"/>
    <w:rsid w:val="7F0C4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CF593E-43C5-4AE4-8A03-FF121258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w:basedOn w:val="Normal"/>
    <w:link w:val="ListParagraphChar"/>
    <w:uiPriority w:val="34"/>
    <w:qFormat/>
    <w:rsid w:val="0070662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706621"/>
    <w:rPr>
      <w:rFonts w:ascii="Calibri" w:eastAsia="Calibri" w:hAnsi="Calibri"/>
      <w:sz w:val="22"/>
      <w:szCs w:val="22"/>
      <w:lang w:val="en-US" w:eastAsia="en-US"/>
    </w:rPr>
  </w:style>
  <w:style w:type="table" w:styleId="TableGrid">
    <w:name w:val="Table Grid"/>
    <w:basedOn w:val="TableNormal"/>
    <w:rsid w:val="00E43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53EFA"/>
    <w:rPr>
      <w:sz w:val="16"/>
      <w:szCs w:val="16"/>
    </w:rPr>
  </w:style>
  <w:style w:type="paragraph" w:styleId="CommentText">
    <w:name w:val="annotation text"/>
    <w:basedOn w:val="Normal"/>
    <w:link w:val="CommentTextChar"/>
    <w:rsid w:val="00953EFA"/>
  </w:style>
  <w:style w:type="character" w:customStyle="1" w:styleId="CommentTextChar">
    <w:name w:val="Comment Text Char"/>
    <w:basedOn w:val="DefaultParagraphFont"/>
    <w:link w:val="CommentText"/>
    <w:rsid w:val="00953EFA"/>
    <w:rPr>
      <w:lang w:eastAsia="en-US"/>
    </w:rPr>
  </w:style>
  <w:style w:type="paragraph" w:styleId="CommentSubject">
    <w:name w:val="annotation subject"/>
    <w:basedOn w:val="CommentText"/>
    <w:next w:val="CommentText"/>
    <w:link w:val="CommentSubjectChar"/>
    <w:rsid w:val="00953EFA"/>
    <w:rPr>
      <w:b/>
      <w:bCs/>
    </w:rPr>
  </w:style>
  <w:style w:type="character" w:customStyle="1" w:styleId="CommentSubjectChar">
    <w:name w:val="Comment Subject Char"/>
    <w:basedOn w:val="CommentTextChar"/>
    <w:link w:val="CommentSubject"/>
    <w:rsid w:val="00953EFA"/>
    <w:rPr>
      <w:b/>
      <w:bCs/>
      <w:lang w:eastAsia="en-US"/>
    </w:rPr>
  </w:style>
  <w:style w:type="paragraph" w:styleId="Caption">
    <w:name w:val="caption"/>
    <w:basedOn w:val="Normal"/>
    <w:next w:val="Normal"/>
    <w:unhideWhenUsed/>
    <w:qFormat/>
    <w:rsid w:val="00496121"/>
    <w:pPr>
      <w:spacing w:after="200"/>
    </w:pPr>
    <w:rPr>
      <w:i/>
      <w:iCs/>
      <w:color w:val="44546A" w:themeColor="text2"/>
      <w:sz w:val="18"/>
      <w:szCs w:val="18"/>
    </w:rPr>
  </w:style>
  <w:style w:type="character" w:styleId="Mention">
    <w:name w:val="Mention"/>
    <w:basedOn w:val="DefaultParagraphFont"/>
    <w:uiPriority w:val="99"/>
    <w:unhideWhenUsed/>
    <w:rsid w:val="00A40E98"/>
    <w:rPr>
      <w:color w:val="2B579A"/>
      <w:shd w:val="clear" w:color="auto" w:fill="E1DFDD"/>
    </w:rPr>
  </w:style>
  <w:style w:type="paragraph" w:styleId="BodyText">
    <w:name w:val="Body Text"/>
    <w:basedOn w:val="Normal"/>
    <w:link w:val="BodyTextChar"/>
    <w:rsid w:val="006E2C6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6E2C6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7329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1722890">
      <w:bodyDiv w:val="1"/>
      <w:marLeft w:val="0"/>
      <w:marRight w:val="0"/>
      <w:marTop w:val="0"/>
      <w:marBottom w:val="0"/>
      <w:divBdr>
        <w:top w:val="none" w:sz="0" w:space="0" w:color="auto"/>
        <w:left w:val="none" w:sz="0" w:space="0" w:color="auto"/>
        <w:bottom w:val="none" w:sz="0" w:space="0" w:color="auto"/>
        <w:right w:val="none" w:sz="0" w:space="0" w:color="auto"/>
      </w:divBdr>
      <w:divsChild>
        <w:div w:id="376780386">
          <w:marLeft w:val="446"/>
          <w:marRight w:val="0"/>
          <w:marTop w:val="0"/>
          <w:marBottom w:val="0"/>
          <w:divBdr>
            <w:top w:val="none" w:sz="0" w:space="0" w:color="auto"/>
            <w:left w:val="none" w:sz="0" w:space="0" w:color="auto"/>
            <w:bottom w:val="none" w:sz="0" w:space="0" w:color="auto"/>
            <w:right w:val="none" w:sz="0" w:space="0" w:color="auto"/>
          </w:divBdr>
        </w:div>
        <w:div w:id="542401953">
          <w:marLeft w:val="446"/>
          <w:marRight w:val="0"/>
          <w:marTop w:val="0"/>
          <w:marBottom w:val="0"/>
          <w:divBdr>
            <w:top w:val="none" w:sz="0" w:space="0" w:color="auto"/>
            <w:left w:val="none" w:sz="0" w:space="0" w:color="auto"/>
            <w:bottom w:val="none" w:sz="0" w:space="0" w:color="auto"/>
            <w:right w:val="none" w:sz="0" w:space="0" w:color="auto"/>
          </w:divBdr>
        </w:div>
        <w:div w:id="140774670">
          <w:marLeft w:val="446"/>
          <w:marRight w:val="0"/>
          <w:marTop w:val="0"/>
          <w:marBottom w:val="0"/>
          <w:divBdr>
            <w:top w:val="none" w:sz="0" w:space="0" w:color="auto"/>
            <w:left w:val="none" w:sz="0" w:space="0" w:color="auto"/>
            <w:bottom w:val="none" w:sz="0" w:space="0" w:color="auto"/>
            <w:right w:val="none" w:sz="0" w:space="0" w:color="auto"/>
          </w:divBdr>
        </w:div>
      </w:divsChild>
    </w:div>
    <w:div w:id="2035418455">
      <w:bodyDiv w:val="1"/>
      <w:marLeft w:val="0"/>
      <w:marRight w:val="0"/>
      <w:marTop w:val="0"/>
      <w:marBottom w:val="0"/>
      <w:divBdr>
        <w:top w:val="none" w:sz="0" w:space="0" w:color="auto"/>
        <w:left w:val="none" w:sz="0" w:space="0" w:color="auto"/>
        <w:bottom w:val="none" w:sz="0" w:space="0" w:color="auto"/>
        <w:right w:val="none" w:sz="0" w:space="0" w:color="auto"/>
      </w:divBdr>
      <w:divsChild>
        <w:div w:id="1670450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06/Docs/R2-190706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ortal.3gpp.org/ngppapp/CreateTdoc.aspx?mode=view&amp;contributionId=1133721"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8_series/38.821/38821-g00.zip" TargetMode="External"/><Relationship Id="rId22" Type="http://schemas.openxmlformats.org/officeDocument/2006/relationships/footer" Target="footer3.xml"/><Relationship Id="rId48"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6" ma:contentTypeDescription="Create a new document." ma:contentTypeScope="" ma:versionID="80b70e0982b7fd9e259c0c6d41efbcd5">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6afe22c77f6bb6101f30a1b33af8e82d"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5AIRPNAIUNRU-1517105484-434</_dlc_DocId>
    <_dlc_DocIdUrl xmlns="71c5aaf6-e6ce-465b-b873-5148d2a4c105">
      <Url>https://nokia.sharepoint.com/sites/c5g/projects/asc/_layouts/15/DocIdRedir.aspx?ID=5AIRPNAIUNRU-1517105484-434</Url>
      <Description>5AIRPNAIUNRU-1517105484-434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3AE3A95-C1BE-4D4F-A75B-8E7609023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3A9580D-CEF0-4A4B-95D0-2E13BBF8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3</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7530</CharactersWithSpaces>
  <SharedDoc>false</SharedDoc>
  <HyperlinkBase/>
  <HLinks>
    <vt:vector size="72" baseType="variant">
      <vt:variant>
        <vt:i4>2359325</vt:i4>
      </vt:variant>
      <vt:variant>
        <vt:i4>69</vt:i4>
      </vt:variant>
      <vt:variant>
        <vt:i4>0</vt:i4>
      </vt:variant>
      <vt:variant>
        <vt:i4>5</vt:i4>
      </vt:variant>
      <vt:variant>
        <vt:lpwstr>http://www.3gpp.org/ftp/TSG_RAN/WG2_RL2/TSGR2_106/Docs/R2-1907069.zip</vt:lpwstr>
      </vt:variant>
      <vt:variant>
        <vt:lpwstr/>
      </vt:variant>
      <vt:variant>
        <vt:i4>1966105</vt:i4>
      </vt:variant>
      <vt:variant>
        <vt:i4>66</vt:i4>
      </vt:variant>
      <vt:variant>
        <vt:i4>0</vt:i4>
      </vt:variant>
      <vt:variant>
        <vt:i4>5</vt:i4>
      </vt:variant>
      <vt:variant>
        <vt:lpwstr>https://portal.3gpp.org/ngppapp/CreateTdoc.aspx?mode=view&amp;contributionId=1133721</vt:lpwstr>
      </vt:variant>
      <vt:variant>
        <vt:lpwstr/>
      </vt:variant>
      <vt:variant>
        <vt:i4>1704049</vt:i4>
      </vt:variant>
      <vt:variant>
        <vt:i4>63</vt:i4>
      </vt:variant>
      <vt:variant>
        <vt:i4>0</vt:i4>
      </vt:variant>
      <vt:variant>
        <vt:i4>5</vt:i4>
      </vt:variant>
      <vt:variant>
        <vt:lpwstr>http://www.3gpp.org/ftp/Specs/archive/38_series/38.821/38821-g00.zip</vt:lpwstr>
      </vt:variant>
      <vt:variant>
        <vt:lpwstr/>
      </vt:variant>
      <vt:variant>
        <vt:i4>1704049</vt:i4>
      </vt:variant>
      <vt:variant>
        <vt:i4>48</vt:i4>
      </vt:variant>
      <vt:variant>
        <vt:i4>0</vt:i4>
      </vt:variant>
      <vt:variant>
        <vt:i4>5</vt:i4>
      </vt:variant>
      <vt:variant>
        <vt:lpwstr>http://www.3gpp.org/ftp/Specs/archive/38_series/38.321/38321-g00.zip</vt:lpwstr>
      </vt:variant>
      <vt:variant>
        <vt:lpwstr/>
      </vt:variant>
      <vt:variant>
        <vt:i4>1769589</vt:i4>
      </vt:variant>
      <vt:variant>
        <vt:i4>45</vt:i4>
      </vt:variant>
      <vt:variant>
        <vt:i4>0</vt:i4>
      </vt:variant>
      <vt:variant>
        <vt:i4>5</vt:i4>
      </vt:variant>
      <vt:variant>
        <vt:lpwstr>http://www.3gpp.org/ftp/Specs/archive/38_series/38.321/38321-f40.zip</vt:lpwstr>
      </vt:variant>
      <vt:variant>
        <vt:lpwstr/>
      </vt:variant>
      <vt:variant>
        <vt:i4>1704049</vt:i4>
      </vt:variant>
      <vt:variant>
        <vt:i4>42</vt:i4>
      </vt:variant>
      <vt:variant>
        <vt:i4>0</vt:i4>
      </vt:variant>
      <vt:variant>
        <vt:i4>5</vt:i4>
      </vt:variant>
      <vt:variant>
        <vt:lpwstr>http://www.3gpp.org/ftp/Specs/archive/38_series/38.821/38821-g00.zip</vt:lpwstr>
      </vt:variant>
      <vt:variant>
        <vt:lpwstr/>
      </vt:variant>
      <vt:variant>
        <vt:i4>2359325</vt:i4>
      </vt:variant>
      <vt:variant>
        <vt:i4>39</vt:i4>
      </vt:variant>
      <vt:variant>
        <vt:i4>0</vt:i4>
      </vt:variant>
      <vt:variant>
        <vt:i4>5</vt:i4>
      </vt:variant>
      <vt:variant>
        <vt:lpwstr>http://www.3gpp.org/ftp/TSG_RAN/WG2_RL2/TSGR2_106/Docs/R2-1907069.zip</vt:lpwstr>
      </vt:variant>
      <vt:variant>
        <vt:lpwstr/>
      </vt:variant>
      <vt:variant>
        <vt:i4>1704049</vt:i4>
      </vt:variant>
      <vt:variant>
        <vt:i4>36</vt:i4>
      </vt:variant>
      <vt:variant>
        <vt:i4>0</vt:i4>
      </vt:variant>
      <vt:variant>
        <vt:i4>5</vt:i4>
      </vt:variant>
      <vt:variant>
        <vt:lpwstr>http://www.3gpp.org/ftp/Specs/archive/38_series/38.821/38821-g00.zip</vt:lpwstr>
      </vt:variant>
      <vt:variant>
        <vt:lpwstr/>
      </vt:variant>
      <vt:variant>
        <vt:i4>1966105</vt:i4>
      </vt:variant>
      <vt:variant>
        <vt:i4>33</vt:i4>
      </vt:variant>
      <vt:variant>
        <vt:i4>0</vt:i4>
      </vt:variant>
      <vt:variant>
        <vt:i4>5</vt:i4>
      </vt:variant>
      <vt:variant>
        <vt:lpwstr>https://portal.3gpp.org/ngppapp/CreateTdoc.aspx?mode=view&amp;contributionId=1133721</vt:lpwstr>
      </vt:variant>
      <vt:variant>
        <vt:lpwstr/>
      </vt: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Yuan</cp:lastModifiedBy>
  <cp:revision>255</cp:revision>
  <dcterms:created xsi:type="dcterms:W3CDTF">2020-07-08T07:05:00Z</dcterms:created>
  <dcterms:modified xsi:type="dcterms:W3CDTF">2020-08-07T04:26:00Z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_dlc_DocIdItemGuid">
    <vt:lpwstr>b51c68fd-a242-489b-9211-43e805bc1c71</vt:lpwstr>
  </property>
</Properties>
</file>